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A96" w:rsidRPr="00E225BF" w:rsidRDefault="00E91DDD">
      <w:pPr>
        <w:rPr>
          <w:rFonts w:ascii="Times New Roman" w:hAnsi="Times New Roman" w:cs="Times New Roman"/>
          <w:b/>
          <w:i/>
          <w:sz w:val="24"/>
        </w:rPr>
      </w:pPr>
      <w:r>
        <w:rPr>
          <w:rFonts w:ascii="Times New Roman" w:hAnsi="Times New Roman" w:cs="Times New Roman"/>
          <w:b/>
          <w:i/>
          <w:sz w:val="24"/>
        </w:rPr>
        <w:t>Statistics, Star Statements and Stories Feedback</w:t>
      </w:r>
    </w:p>
    <w:p w:rsidR="003C0FD6" w:rsidRPr="00E225BF" w:rsidRDefault="003C0FD6">
      <w:pPr>
        <w:rPr>
          <w:rFonts w:ascii="Times New Roman" w:hAnsi="Times New Roman" w:cs="Times New Roman"/>
          <w:i/>
        </w:rPr>
      </w:pPr>
      <w:r w:rsidRPr="00E225BF">
        <w:rPr>
          <w:rFonts w:ascii="Times New Roman" w:hAnsi="Times New Roman" w:cs="Times New Roman"/>
          <w:i/>
        </w:rPr>
        <w:t xml:space="preserve">During the 2012-2013 school </w:t>
      </w:r>
      <w:proofErr w:type="gramStart"/>
      <w:r w:rsidRPr="00E225BF">
        <w:rPr>
          <w:rFonts w:ascii="Times New Roman" w:hAnsi="Times New Roman" w:cs="Times New Roman"/>
          <w:i/>
        </w:rPr>
        <w:t>year</w:t>
      </w:r>
      <w:proofErr w:type="gramEnd"/>
      <w:r w:rsidRPr="00E225BF">
        <w:rPr>
          <w:rFonts w:ascii="Times New Roman" w:hAnsi="Times New Roman" w:cs="Times New Roman"/>
          <w:i/>
        </w:rPr>
        <w:t xml:space="preserve">, the sixth grade science team at Salem Middle School had their students experiment with several different nonfiction reading strategies.  One of those strategies was </w:t>
      </w:r>
      <w:r w:rsidR="00E91DDD">
        <w:rPr>
          <w:rFonts w:ascii="Times New Roman" w:hAnsi="Times New Roman" w:cs="Times New Roman"/>
          <w:b/>
          <w:i/>
        </w:rPr>
        <w:t>Statistics, Star Statements and Stories</w:t>
      </w:r>
      <w:r w:rsidRPr="00E225BF">
        <w:rPr>
          <w:rFonts w:ascii="Times New Roman" w:hAnsi="Times New Roman" w:cs="Times New Roman"/>
          <w:i/>
        </w:rPr>
        <w:t xml:space="preserve"> – which involved </w:t>
      </w:r>
      <w:r w:rsidR="00E91DDD">
        <w:rPr>
          <w:rFonts w:ascii="Times New Roman" w:hAnsi="Times New Roman" w:cs="Times New Roman"/>
          <w:i/>
        </w:rPr>
        <w:t>looking at the usefulness of different kinds of evidence</w:t>
      </w:r>
      <w:r w:rsidR="00D43EDD">
        <w:rPr>
          <w:rFonts w:ascii="Times New Roman" w:hAnsi="Times New Roman" w:cs="Times New Roman"/>
          <w:i/>
        </w:rPr>
        <w:t xml:space="preserve"> shared in nonfiction science texts</w:t>
      </w:r>
      <w:r w:rsidRPr="00E225BF">
        <w:rPr>
          <w:rFonts w:ascii="Times New Roman" w:hAnsi="Times New Roman" w:cs="Times New Roman"/>
          <w:i/>
        </w:rPr>
        <w:t xml:space="preserve">.  This document contains a summary of the perceptions that students had about the </w:t>
      </w:r>
      <w:r w:rsidR="00E91DDD">
        <w:rPr>
          <w:rFonts w:ascii="Times New Roman" w:hAnsi="Times New Roman" w:cs="Times New Roman"/>
          <w:i/>
        </w:rPr>
        <w:t>Statistics, Star Statements and Stories activity</w:t>
      </w:r>
      <w:r w:rsidRPr="00E225BF">
        <w:rPr>
          <w:rFonts w:ascii="Times New Roman" w:hAnsi="Times New Roman" w:cs="Times New Roman"/>
          <w:i/>
        </w:rPr>
        <w:t>.</w:t>
      </w:r>
    </w:p>
    <w:tbl>
      <w:tblPr>
        <w:tblStyle w:val="TableGrid"/>
        <w:tblW w:w="0" w:type="auto"/>
        <w:tblInd w:w="7" w:type="dxa"/>
        <w:shd w:val="clear" w:color="auto" w:fill="BFBFBF" w:themeFill="background1" w:themeFillShade="BF"/>
        <w:tblCellMar>
          <w:top w:w="58" w:type="dxa"/>
          <w:left w:w="115" w:type="dxa"/>
          <w:bottom w:w="58" w:type="dxa"/>
          <w:right w:w="115" w:type="dxa"/>
        </w:tblCellMar>
        <w:tblLook w:val="04A0"/>
      </w:tblPr>
      <w:tblGrid>
        <w:gridCol w:w="5494"/>
        <w:gridCol w:w="5508"/>
      </w:tblGrid>
      <w:tr w:rsidR="004D74A8" w:rsidRPr="00E225BF" w:rsidTr="00E225BF">
        <w:tc>
          <w:tcPr>
            <w:tcW w:w="11002" w:type="dxa"/>
            <w:gridSpan w:val="2"/>
            <w:shd w:val="clear" w:color="auto" w:fill="BFBFBF" w:themeFill="background1" w:themeFillShade="BF"/>
          </w:tcPr>
          <w:p w:rsidR="004D74A8" w:rsidRPr="00E225BF" w:rsidRDefault="004D74A8">
            <w:pPr>
              <w:rPr>
                <w:rFonts w:ascii="Times New Roman" w:hAnsi="Times New Roman" w:cs="Times New Roman"/>
                <w:b/>
                <w:i/>
              </w:rPr>
            </w:pPr>
            <w:r w:rsidRPr="00E225BF">
              <w:rPr>
                <w:rFonts w:ascii="Times New Roman" w:hAnsi="Times New Roman" w:cs="Times New Roman"/>
                <w:b/>
                <w:i/>
              </w:rPr>
              <w:t>By the Numbers:</w:t>
            </w:r>
          </w:p>
        </w:tc>
      </w:tr>
      <w:tr w:rsidR="003C0FD6" w:rsidRPr="00E225BF" w:rsidTr="00E225BF">
        <w:tblPrEx>
          <w:shd w:val="clear" w:color="auto" w:fill="auto"/>
        </w:tblPrEx>
        <w:tc>
          <w:tcPr>
            <w:tcW w:w="5494" w:type="dxa"/>
          </w:tcPr>
          <w:p w:rsidR="003C0FD6" w:rsidRPr="00E225BF" w:rsidRDefault="00061D22" w:rsidP="003C0FD6">
            <w:pPr>
              <w:jc w:val="center"/>
              <w:rPr>
                <w:rFonts w:ascii="Arial Black" w:hAnsi="Arial Black" w:cs="Times New Roman"/>
                <w:b/>
                <w:sz w:val="72"/>
              </w:rPr>
            </w:pPr>
            <w:r>
              <w:rPr>
                <w:rFonts w:ascii="Arial Black" w:hAnsi="Arial Black" w:cs="Times New Roman"/>
                <w:b/>
                <w:sz w:val="72"/>
              </w:rPr>
              <w:t>87</w:t>
            </w:r>
          </w:p>
          <w:p w:rsidR="003C0FD6" w:rsidRPr="00E225BF" w:rsidRDefault="003C0FD6" w:rsidP="00061D22">
            <w:pPr>
              <w:jc w:val="center"/>
              <w:rPr>
                <w:rFonts w:ascii="Times New Roman" w:hAnsi="Times New Roman" w:cs="Times New Roman"/>
                <w:i/>
              </w:rPr>
            </w:pPr>
            <w:r w:rsidRPr="00E225BF">
              <w:rPr>
                <w:rFonts w:ascii="Times New Roman" w:hAnsi="Times New Roman" w:cs="Times New Roman"/>
                <w:i/>
                <w:sz w:val="20"/>
              </w:rPr>
              <w:t xml:space="preserve">Percentage of students who rated </w:t>
            </w:r>
            <w:r w:rsidR="00061D22">
              <w:rPr>
                <w:rFonts w:ascii="Times New Roman" w:hAnsi="Times New Roman" w:cs="Times New Roman"/>
                <w:i/>
                <w:sz w:val="20"/>
              </w:rPr>
              <w:t>Evaluating the Reliability of Experts</w:t>
            </w:r>
            <w:r w:rsidRPr="00E225BF">
              <w:rPr>
                <w:rFonts w:ascii="Times New Roman" w:hAnsi="Times New Roman" w:cs="Times New Roman"/>
                <w:i/>
                <w:sz w:val="20"/>
              </w:rPr>
              <w:t xml:space="preserve"> as “Helpful” or “Very Helpful” as a reading strategy.</w:t>
            </w:r>
          </w:p>
        </w:tc>
        <w:tc>
          <w:tcPr>
            <w:tcW w:w="5508" w:type="dxa"/>
          </w:tcPr>
          <w:p w:rsidR="003C0FD6" w:rsidRPr="00E225BF" w:rsidRDefault="003C0FD6">
            <w:pPr>
              <w:rPr>
                <w:rFonts w:ascii="Times New Roman" w:hAnsi="Times New Roman" w:cs="Times New Roman"/>
                <w:b/>
                <w:i/>
              </w:rPr>
            </w:pPr>
            <w:r w:rsidRPr="00E225BF">
              <w:rPr>
                <w:rFonts w:ascii="Times New Roman" w:hAnsi="Times New Roman" w:cs="Times New Roman"/>
                <w:b/>
                <w:i/>
              </w:rPr>
              <w:t>Percentage Breakdown:</w:t>
            </w:r>
          </w:p>
          <w:p w:rsidR="004D74A8" w:rsidRPr="00E225BF" w:rsidRDefault="004D74A8" w:rsidP="003C0FD6">
            <w:pPr>
              <w:ind w:left="342"/>
              <w:rPr>
                <w:rFonts w:ascii="Times New Roman" w:hAnsi="Times New Roman" w:cs="Times New Roman"/>
                <w:i/>
                <w:sz w:val="6"/>
              </w:rPr>
            </w:pPr>
          </w:p>
          <w:p w:rsidR="003C0FD6" w:rsidRPr="00E225BF" w:rsidRDefault="00061D22" w:rsidP="003C0FD6">
            <w:pPr>
              <w:ind w:left="342"/>
              <w:rPr>
                <w:rFonts w:ascii="Times New Roman" w:hAnsi="Times New Roman" w:cs="Times New Roman"/>
                <w:i/>
                <w:sz w:val="20"/>
              </w:rPr>
            </w:pPr>
            <w:r>
              <w:rPr>
                <w:rFonts w:ascii="Times New Roman" w:hAnsi="Times New Roman" w:cs="Times New Roman"/>
                <w:i/>
                <w:sz w:val="20"/>
              </w:rPr>
              <w:t>Very Helpful – 6</w:t>
            </w:r>
            <w:r w:rsidR="003C0FD6" w:rsidRPr="00E225BF">
              <w:rPr>
                <w:rFonts w:ascii="Times New Roman" w:hAnsi="Times New Roman" w:cs="Times New Roman"/>
                <w:i/>
                <w:sz w:val="20"/>
              </w:rPr>
              <w:t>%</w:t>
            </w:r>
          </w:p>
          <w:p w:rsidR="003C0FD6" w:rsidRPr="00E225BF" w:rsidRDefault="00061D22" w:rsidP="003C0FD6">
            <w:pPr>
              <w:ind w:left="342"/>
              <w:rPr>
                <w:rFonts w:ascii="Times New Roman" w:hAnsi="Times New Roman" w:cs="Times New Roman"/>
                <w:i/>
                <w:sz w:val="20"/>
              </w:rPr>
            </w:pPr>
            <w:r>
              <w:rPr>
                <w:rFonts w:ascii="Times New Roman" w:hAnsi="Times New Roman" w:cs="Times New Roman"/>
                <w:i/>
                <w:sz w:val="20"/>
              </w:rPr>
              <w:t>Helpful -  81</w:t>
            </w:r>
            <w:r w:rsidR="003C0FD6" w:rsidRPr="00E225BF">
              <w:rPr>
                <w:rFonts w:ascii="Times New Roman" w:hAnsi="Times New Roman" w:cs="Times New Roman"/>
                <w:i/>
                <w:sz w:val="20"/>
              </w:rPr>
              <w:t>%</w:t>
            </w:r>
          </w:p>
          <w:p w:rsidR="003C0FD6" w:rsidRPr="00E225BF" w:rsidRDefault="00061D22" w:rsidP="003C0FD6">
            <w:pPr>
              <w:ind w:left="342"/>
              <w:rPr>
                <w:rFonts w:ascii="Times New Roman" w:hAnsi="Times New Roman" w:cs="Times New Roman"/>
                <w:i/>
                <w:sz w:val="20"/>
              </w:rPr>
            </w:pPr>
            <w:r>
              <w:rPr>
                <w:rFonts w:ascii="Times New Roman" w:hAnsi="Times New Roman" w:cs="Times New Roman"/>
                <w:i/>
                <w:sz w:val="20"/>
              </w:rPr>
              <w:t>Not Helpful – 11</w:t>
            </w:r>
            <w:r w:rsidR="003C0FD6" w:rsidRPr="00E225BF">
              <w:rPr>
                <w:rFonts w:ascii="Times New Roman" w:hAnsi="Times New Roman" w:cs="Times New Roman"/>
                <w:i/>
                <w:sz w:val="20"/>
              </w:rPr>
              <w:t>%</w:t>
            </w:r>
          </w:p>
          <w:p w:rsidR="003C0FD6" w:rsidRPr="00E225BF" w:rsidRDefault="00061D22" w:rsidP="003C0FD6">
            <w:pPr>
              <w:ind w:left="342"/>
              <w:rPr>
                <w:rFonts w:ascii="Times New Roman" w:hAnsi="Times New Roman" w:cs="Times New Roman"/>
              </w:rPr>
            </w:pPr>
            <w:r>
              <w:rPr>
                <w:rFonts w:ascii="Times New Roman" w:hAnsi="Times New Roman" w:cs="Times New Roman"/>
                <w:i/>
                <w:sz w:val="20"/>
              </w:rPr>
              <w:t>Very Unhelpful – 2</w:t>
            </w:r>
            <w:r w:rsidR="003C0FD6" w:rsidRPr="00E225BF">
              <w:rPr>
                <w:rFonts w:ascii="Times New Roman" w:hAnsi="Times New Roman" w:cs="Times New Roman"/>
                <w:i/>
                <w:sz w:val="20"/>
              </w:rPr>
              <w:t>%</w:t>
            </w:r>
          </w:p>
        </w:tc>
      </w:tr>
      <w:tr w:rsidR="004D74A8" w:rsidRPr="00E225BF" w:rsidTr="00E225BF">
        <w:tblPrEx>
          <w:shd w:val="clear" w:color="auto" w:fill="auto"/>
        </w:tblPrEx>
        <w:tc>
          <w:tcPr>
            <w:tcW w:w="5494" w:type="dxa"/>
            <w:shd w:val="clear" w:color="auto" w:fill="BFBFBF" w:themeFill="background1" w:themeFillShade="BF"/>
          </w:tcPr>
          <w:p w:rsidR="004D74A8" w:rsidRPr="00E225BF" w:rsidRDefault="004D74A8">
            <w:pPr>
              <w:rPr>
                <w:rFonts w:ascii="Times New Roman" w:hAnsi="Times New Roman" w:cs="Times New Roman"/>
                <w:b/>
                <w:i/>
              </w:rPr>
            </w:pPr>
            <w:r w:rsidRPr="00E225BF">
              <w:rPr>
                <w:rFonts w:ascii="Times New Roman" w:hAnsi="Times New Roman" w:cs="Times New Roman"/>
                <w:b/>
                <w:i/>
              </w:rPr>
              <w:t>Summary of Strategy’s Strengths:</w:t>
            </w:r>
          </w:p>
          <w:p w:rsidR="004D74A8" w:rsidRPr="00E225BF" w:rsidRDefault="004D74A8">
            <w:pPr>
              <w:rPr>
                <w:rFonts w:ascii="Times New Roman" w:hAnsi="Times New Roman" w:cs="Times New Roman"/>
                <w:i/>
              </w:rPr>
            </w:pPr>
            <w:r w:rsidRPr="00E225BF">
              <w:rPr>
                <w:rFonts w:ascii="Times New Roman" w:hAnsi="Times New Roman" w:cs="Times New Roman"/>
                <w:i/>
                <w:sz w:val="18"/>
              </w:rPr>
              <w:t>Common Patterns found across student comments</w:t>
            </w:r>
          </w:p>
        </w:tc>
        <w:tc>
          <w:tcPr>
            <w:tcW w:w="5508" w:type="dxa"/>
            <w:shd w:val="clear" w:color="auto" w:fill="BFBFBF" w:themeFill="background1" w:themeFillShade="BF"/>
          </w:tcPr>
          <w:p w:rsidR="004D74A8" w:rsidRPr="00E225BF" w:rsidRDefault="004D74A8">
            <w:pPr>
              <w:rPr>
                <w:rFonts w:ascii="Times New Roman" w:hAnsi="Times New Roman" w:cs="Times New Roman"/>
                <w:b/>
                <w:i/>
              </w:rPr>
            </w:pPr>
            <w:r w:rsidRPr="00E225BF">
              <w:rPr>
                <w:rFonts w:ascii="Times New Roman" w:hAnsi="Times New Roman" w:cs="Times New Roman"/>
                <w:b/>
                <w:i/>
              </w:rPr>
              <w:t>Sample Student Comments:</w:t>
            </w:r>
          </w:p>
        </w:tc>
      </w:tr>
      <w:tr w:rsidR="004D74A8" w:rsidRPr="00E225BF" w:rsidTr="00E225BF">
        <w:tblPrEx>
          <w:shd w:val="clear" w:color="auto" w:fill="auto"/>
        </w:tblPrEx>
        <w:tc>
          <w:tcPr>
            <w:tcW w:w="5494" w:type="dxa"/>
            <w:vMerge w:val="restart"/>
          </w:tcPr>
          <w:p w:rsidR="00E225BF" w:rsidRDefault="00FF15CA">
            <w:pPr>
              <w:rPr>
                <w:rFonts w:ascii="Times New Roman" w:hAnsi="Times New Roman" w:cs="Times New Roman"/>
                <w:sz w:val="20"/>
              </w:rPr>
            </w:pPr>
            <w:r>
              <w:rPr>
                <w:rFonts w:ascii="Times New Roman" w:hAnsi="Times New Roman" w:cs="Times New Roman"/>
                <w:sz w:val="20"/>
              </w:rPr>
              <w:t xml:space="preserve">A recurring theme in the comments from </w:t>
            </w:r>
            <w:r w:rsidR="004D74A8" w:rsidRPr="00E225BF">
              <w:rPr>
                <w:rFonts w:ascii="Times New Roman" w:hAnsi="Times New Roman" w:cs="Times New Roman"/>
                <w:sz w:val="20"/>
              </w:rPr>
              <w:t xml:space="preserve">students who found this strategy to be helpful thought that having to </w:t>
            </w:r>
            <w:r>
              <w:rPr>
                <w:rFonts w:ascii="Times New Roman" w:hAnsi="Times New Roman" w:cs="Times New Roman"/>
                <w:sz w:val="20"/>
              </w:rPr>
              <w:t xml:space="preserve">look for </w:t>
            </w:r>
            <w:proofErr w:type="gramStart"/>
            <w:r>
              <w:rPr>
                <w:rFonts w:ascii="Times New Roman" w:hAnsi="Times New Roman" w:cs="Times New Roman"/>
                <w:sz w:val="20"/>
              </w:rPr>
              <w:t>statistics,</w:t>
            </w:r>
            <w:proofErr w:type="gramEnd"/>
            <w:r>
              <w:rPr>
                <w:rFonts w:ascii="Times New Roman" w:hAnsi="Times New Roman" w:cs="Times New Roman"/>
                <w:sz w:val="20"/>
              </w:rPr>
              <w:t xml:space="preserve"> star statements and stories helped them to consider the credibility of an article – something they hadn’t ever considered before.  By looking for tangible evidence, they could determine whether or not a text was worth believing.</w:t>
            </w:r>
          </w:p>
          <w:p w:rsidR="00E225BF" w:rsidRDefault="00E225BF">
            <w:pPr>
              <w:rPr>
                <w:rFonts w:ascii="Times New Roman" w:hAnsi="Times New Roman" w:cs="Times New Roman"/>
                <w:sz w:val="20"/>
              </w:rPr>
            </w:pPr>
          </w:p>
          <w:p w:rsidR="004D74A8" w:rsidRPr="00E225BF" w:rsidRDefault="004D74A8">
            <w:pPr>
              <w:rPr>
                <w:rFonts w:ascii="Times New Roman" w:hAnsi="Times New Roman" w:cs="Times New Roman"/>
              </w:rPr>
            </w:pPr>
          </w:p>
        </w:tc>
        <w:tc>
          <w:tcPr>
            <w:tcW w:w="5508" w:type="dxa"/>
          </w:tcPr>
          <w:p w:rsidR="004D74A8" w:rsidRPr="00FF15CA" w:rsidRDefault="00FF15CA">
            <w:pPr>
              <w:rPr>
                <w:rFonts w:ascii="Times New Roman" w:hAnsi="Times New Roman" w:cs="Times New Roman"/>
                <w:sz w:val="20"/>
                <w:szCs w:val="20"/>
              </w:rPr>
            </w:pPr>
            <w:r>
              <w:rPr>
                <w:rFonts w:ascii="Times New Roman" w:hAnsi="Times New Roman" w:cs="Times New Roman"/>
                <w:sz w:val="20"/>
                <w:szCs w:val="20"/>
              </w:rPr>
              <w:t>“</w:t>
            </w:r>
            <w:r w:rsidRPr="00FF15CA">
              <w:rPr>
                <w:rFonts w:ascii="Times New Roman" w:hAnsi="Times New Roman" w:cs="Times New Roman"/>
                <w:sz w:val="20"/>
                <w:szCs w:val="20"/>
              </w:rPr>
              <w:t xml:space="preserve">I thought it was interesting to look for statistics, star </w:t>
            </w:r>
            <w:proofErr w:type="spellStart"/>
            <w:r w:rsidRPr="00FF15CA">
              <w:rPr>
                <w:rFonts w:ascii="Times New Roman" w:hAnsi="Times New Roman" w:cs="Times New Roman"/>
                <w:sz w:val="20"/>
                <w:szCs w:val="20"/>
              </w:rPr>
              <w:t>statments</w:t>
            </w:r>
            <w:proofErr w:type="spellEnd"/>
            <w:r w:rsidRPr="00FF15CA">
              <w:rPr>
                <w:rFonts w:ascii="Times New Roman" w:hAnsi="Times New Roman" w:cs="Times New Roman"/>
                <w:sz w:val="20"/>
                <w:szCs w:val="20"/>
              </w:rPr>
              <w:t xml:space="preserve"> and stories. It was a great strategy for finding and noticing bias. It also helps to identify which side I am on and the way the author thinks about the event.</w:t>
            </w:r>
            <w:r>
              <w:rPr>
                <w:rFonts w:ascii="Times New Roman" w:hAnsi="Times New Roman" w:cs="Times New Roman"/>
                <w:sz w:val="20"/>
                <w:szCs w:val="20"/>
              </w:rPr>
              <w:t>”</w:t>
            </w:r>
          </w:p>
        </w:tc>
      </w:tr>
      <w:tr w:rsidR="004D74A8" w:rsidRPr="00E225BF" w:rsidTr="00E225BF">
        <w:tblPrEx>
          <w:shd w:val="clear" w:color="auto" w:fill="auto"/>
        </w:tblPrEx>
        <w:tc>
          <w:tcPr>
            <w:tcW w:w="5494" w:type="dxa"/>
            <w:vMerge/>
          </w:tcPr>
          <w:p w:rsidR="004D74A8" w:rsidRPr="00E225BF" w:rsidRDefault="004D74A8">
            <w:pPr>
              <w:rPr>
                <w:rFonts w:ascii="Times New Roman" w:hAnsi="Times New Roman" w:cs="Times New Roman"/>
              </w:rPr>
            </w:pPr>
          </w:p>
        </w:tc>
        <w:tc>
          <w:tcPr>
            <w:tcW w:w="5508" w:type="dxa"/>
          </w:tcPr>
          <w:p w:rsidR="004D74A8" w:rsidRPr="00FF15CA" w:rsidRDefault="00FF15CA" w:rsidP="00E225BF">
            <w:pPr>
              <w:rPr>
                <w:rFonts w:ascii="Times New Roman" w:hAnsi="Times New Roman" w:cs="Times New Roman"/>
                <w:sz w:val="20"/>
                <w:szCs w:val="20"/>
              </w:rPr>
            </w:pPr>
            <w:r>
              <w:rPr>
                <w:rFonts w:ascii="Times New Roman" w:hAnsi="Times New Roman" w:cs="Times New Roman"/>
                <w:sz w:val="20"/>
                <w:szCs w:val="20"/>
              </w:rPr>
              <w:t>“L</w:t>
            </w:r>
            <w:r w:rsidRPr="00FF15CA">
              <w:rPr>
                <w:rFonts w:ascii="Times New Roman" w:hAnsi="Times New Roman" w:cs="Times New Roman"/>
                <w:sz w:val="20"/>
                <w:szCs w:val="20"/>
              </w:rPr>
              <w:t xml:space="preserve">ooking for statistic, star statements and stories helped me find out if </w:t>
            </w:r>
            <w:proofErr w:type="gramStart"/>
            <w:r w:rsidRPr="00FF15CA">
              <w:rPr>
                <w:rFonts w:ascii="Times New Roman" w:hAnsi="Times New Roman" w:cs="Times New Roman"/>
                <w:sz w:val="20"/>
                <w:szCs w:val="20"/>
              </w:rPr>
              <w:t>a</w:t>
            </w:r>
            <w:proofErr w:type="gramEnd"/>
            <w:r w:rsidRPr="00FF15CA">
              <w:rPr>
                <w:rFonts w:ascii="Times New Roman" w:hAnsi="Times New Roman" w:cs="Times New Roman"/>
                <w:sz w:val="20"/>
                <w:szCs w:val="20"/>
              </w:rPr>
              <w:t xml:space="preserve"> </w:t>
            </w:r>
            <w:proofErr w:type="spellStart"/>
            <w:r w:rsidRPr="00FF15CA">
              <w:rPr>
                <w:rFonts w:ascii="Times New Roman" w:hAnsi="Times New Roman" w:cs="Times New Roman"/>
                <w:sz w:val="20"/>
                <w:szCs w:val="20"/>
              </w:rPr>
              <w:t>artical</w:t>
            </w:r>
            <w:proofErr w:type="spellEnd"/>
            <w:r w:rsidRPr="00FF15CA">
              <w:rPr>
                <w:rFonts w:ascii="Times New Roman" w:hAnsi="Times New Roman" w:cs="Times New Roman"/>
                <w:sz w:val="20"/>
                <w:szCs w:val="20"/>
              </w:rPr>
              <w:t xml:space="preserve"> was creditable. </w:t>
            </w:r>
            <w:proofErr w:type="gramStart"/>
            <w:r w:rsidRPr="00FF15CA">
              <w:rPr>
                <w:rFonts w:ascii="Times New Roman" w:hAnsi="Times New Roman" w:cs="Times New Roman"/>
                <w:sz w:val="20"/>
                <w:szCs w:val="20"/>
              </w:rPr>
              <w:t>it</w:t>
            </w:r>
            <w:proofErr w:type="gramEnd"/>
            <w:r w:rsidRPr="00FF15CA">
              <w:rPr>
                <w:rFonts w:ascii="Times New Roman" w:hAnsi="Times New Roman" w:cs="Times New Roman"/>
                <w:sz w:val="20"/>
                <w:szCs w:val="20"/>
              </w:rPr>
              <w:t xml:space="preserve"> also gave me more knowledge about the topic.</w:t>
            </w:r>
            <w:r>
              <w:rPr>
                <w:rFonts w:ascii="Times New Roman" w:hAnsi="Times New Roman" w:cs="Times New Roman"/>
                <w:sz w:val="20"/>
                <w:szCs w:val="20"/>
              </w:rPr>
              <w:t>”</w:t>
            </w:r>
          </w:p>
        </w:tc>
      </w:tr>
      <w:tr w:rsidR="004D74A8" w:rsidRPr="00E225BF" w:rsidTr="00E225BF">
        <w:tblPrEx>
          <w:shd w:val="clear" w:color="auto" w:fill="auto"/>
        </w:tblPrEx>
        <w:tc>
          <w:tcPr>
            <w:tcW w:w="5494" w:type="dxa"/>
            <w:vMerge/>
            <w:tcBorders>
              <w:bottom w:val="single" w:sz="4" w:space="0" w:color="auto"/>
            </w:tcBorders>
          </w:tcPr>
          <w:p w:rsidR="004D74A8" w:rsidRPr="00E225BF" w:rsidRDefault="004D74A8">
            <w:pPr>
              <w:rPr>
                <w:rFonts w:ascii="Times New Roman" w:hAnsi="Times New Roman" w:cs="Times New Roman"/>
              </w:rPr>
            </w:pPr>
          </w:p>
        </w:tc>
        <w:tc>
          <w:tcPr>
            <w:tcW w:w="5508" w:type="dxa"/>
            <w:tcBorders>
              <w:bottom w:val="single" w:sz="4" w:space="0" w:color="auto"/>
            </w:tcBorders>
          </w:tcPr>
          <w:p w:rsidR="004D74A8" w:rsidRPr="00FF15CA" w:rsidRDefault="00FF15CA">
            <w:pPr>
              <w:rPr>
                <w:rFonts w:ascii="Times New Roman" w:hAnsi="Times New Roman" w:cs="Times New Roman"/>
                <w:sz w:val="20"/>
                <w:szCs w:val="20"/>
              </w:rPr>
            </w:pPr>
            <w:r>
              <w:rPr>
                <w:rFonts w:ascii="Times New Roman" w:hAnsi="Times New Roman" w:cs="Times New Roman"/>
                <w:sz w:val="20"/>
                <w:szCs w:val="20"/>
              </w:rPr>
              <w:t>“</w:t>
            </w:r>
            <w:r w:rsidRPr="00FF15CA">
              <w:rPr>
                <w:rFonts w:ascii="Times New Roman" w:hAnsi="Times New Roman" w:cs="Times New Roman"/>
                <w:sz w:val="20"/>
                <w:szCs w:val="20"/>
              </w:rPr>
              <w:t>You did think more about the facts and opinions in articles, and who to trust. Ex: Statistics are easy to find and can be proven wrong, but sometimes they don't match the topic. Stories are more persuading, but you have to know who is telling the story. To be sure of a star statement, you must know who said it. So it is helpful to think about if the article is trustworthy or not.</w:t>
            </w:r>
            <w:r>
              <w:rPr>
                <w:rFonts w:ascii="Times New Roman" w:hAnsi="Times New Roman" w:cs="Times New Roman"/>
                <w:sz w:val="20"/>
                <w:szCs w:val="20"/>
              </w:rPr>
              <w:t>”</w:t>
            </w:r>
          </w:p>
        </w:tc>
      </w:tr>
      <w:tr w:rsidR="004D74A8" w:rsidRPr="00E225BF" w:rsidTr="00E225BF">
        <w:tblPrEx>
          <w:shd w:val="clear" w:color="auto" w:fill="auto"/>
        </w:tblPrEx>
        <w:tc>
          <w:tcPr>
            <w:tcW w:w="5494" w:type="dxa"/>
            <w:shd w:val="clear" w:color="auto" w:fill="BFBFBF" w:themeFill="background1" w:themeFillShade="BF"/>
          </w:tcPr>
          <w:p w:rsidR="004D74A8" w:rsidRPr="00E225BF" w:rsidRDefault="004D74A8" w:rsidP="00125A0B">
            <w:pPr>
              <w:rPr>
                <w:rFonts w:ascii="Times New Roman" w:hAnsi="Times New Roman" w:cs="Times New Roman"/>
                <w:b/>
                <w:i/>
              </w:rPr>
            </w:pPr>
            <w:r w:rsidRPr="00E225BF">
              <w:rPr>
                <w:rFonts w:ascii="Times New Roman" w:hAnsi="Times New Roman" w:cs="Times New Roman"/>
                <w:b/>
                <w:i/>
              </w:rPr>
              <w:t xml:space="preserve">Summary of Strategy’s </w:t>
            </w:r>
            <w:r w:rsidR="00E91DDD">
              <w:rPr>
                <w:rFonts w:ascii="Times New Roman" w:hAnsi="Times New Roman" w:cs="Times New Roman"/>
                <w:b/>
                <w:i/>
              </w:rPr>
              <w:t>Weaknesses</w:t>
            </w:r>
            <w:r w:rsidRPr="00E225BF">
              <w:rPr>
                <w:rFonts w:ascii="Times New Roman" w:hAnsi="Times New Roman" w:cs="Times New Roman"/>
                <w:b/>
                <w:i/>
              </w:rPr>
              <w:t>:</w:t>
            </w:r>
          </w:p>
          <w:p w:rsidR="004D74A8" w:rsidRPr="00E225BF" w:rsidRDefault="004D74A8" w:rsidP="00125A0B">
            <w:pPr>
              <w:rPr>
                <w:rFonts w:ascii="Times New Roman" w:hAnsi="Times New Roman" w:cs="Times New Roman"/>
                <w:i/>
              </w:rPr>
            </w:pPr>
            <w:r w:rsidRPr="00E225BF">
              <w:rPr>
                <w:rFonts w:ascii="Times New Roman" w:hAnsi="Times New Roman" w:cs="Times New Roman"/>
                <w:i/>
                <w:sz w:val="18"/>
              </w:rPr>
              <w:t>Common Patterns found across student comments</w:t>
            </w:r>
          </w:p>
        </w:tc>
        <w:tc>
          <w:tcPr>
            <w:tcW w:w="5508" w:type="dxa"/>
            <w:shd w:val="clear" w:color="auto" w:fill="BFBFBF" w:themeFill="background1" w:themeFillShade="BF"/>
          </w:tcPr>
          <w:p w:rsidR="004D74A8" w:rsidRPr="00E225BF" w:rsidRDefault="004D74A8" w:rsidP="00125A0B">
            <w:pPr>
              <w:rPr>
                <w:rFonts w:ascii="Times New Roman" w:hAnsi="Times New Roman" w:cs="Times New Roman"/>
                <w:b/>
                <w:i/>
              </w:rPr>
            </w:pPr>
            <w:r w:rsidRPr="00E225BF">
              <w:rPr>
                <w:rFonts w:ascii="Times New Roman" w:hAnsi="Times New Roman" w:cs="Times New Roman"/>
                <w:b/>
                <w:i/>
              </w:rPr>
              <w:t>Sample Student Comments:</w:t>
            </w:r>
          </w:p>
        </w:tc>
      </w:tr>
      <w:tr w:rsidR="00E225BF" w:rsidRPr="00E225BF" w:rsidTr="00E225BF">
        <w:tblPrEx>
          <w:shd w:val="clear" w:color="auto" w:fill="auto"/>
        </w:tblPrEx>
        <w:tc>
          <w:tcPr>
            <w:tcW w:w="5494" w:type="dxa"/>
            <w:vMerge w:val="restart"/>
          </w:tcPr>
          <w:p w:rsidR="00E225BF" w:rsidRPr="00E225BF" w:rsidRDefault="00E91DDD" w:rsidP="00125A0B">
            <w:pPr>
              <w:rPr>
                <w:rFonts w:ascii="Times New Roman" w:hAnsi="Times New Roman" w:cs="Times New Roman"/>
                <w:sz w:val="20"/>
              </w:rPr>
            </w:pPr>
            <w:r>
              <w:rPr>
                <w:rFonts w:ascii="Times New Roman" w:hAnsi="Times New Roman" w:cs="Times New Roman"/>
                <w:sz w:val="20"/>
              </w:rPr>
              <w:t xml:space="preserve">One of the most common weaknesses of this strategy reported by students was that they couldn’t always find each type of evidence in the nonfiction article that they were reading.  In these cases, accomplishing the task – finding different types of evidence – became more important to the students than determining how different types of evidence have a different impact on readers.  </w:t>
            </w:r>
          </w:p>
          <w:p w:rsidR="00E225BF" w:rsidRPr="00E225BF" w:rsidRDefault="00E225BF" w:rsidP="00125A0B">
            <w:pPr>
              <w:rPr>
                <w:rFonts w:ascii="Times New Roman" w:hAnsi="Times New Roman" w:cs="Times New Roman"/>
                <w:sz w:val="20"/>
              </w:rPr>
            </w:pPr>
          </w:p>
          <w:p w:rsidR="00E225BF" w:rsidRPr="00E225BF" w:rsidRDefault="00E225BF" w:rsidP="00E91DDD">
            <w:pPr>
              <w:rPr>
                <w:rFonts w:ascii="Times New Roman" w:hAnsi="Times New Roman" w:cs="Times New Roman"/>
              </w:rPr>
            </w:pPr>
            <w:r w:rsidRPr="00E225BF">
              <w:rPr>
                <w:rFonts w:ascii="Times New Roman" w:hAnsi="Times New Roman" w:cs="Times New Roman"/>
                <w:sz w:val="20"/>
              </w:rPr>
              <w:t xml:space="preserve">Students also </w:t>
            </w:r>
            <w:r w:rsidR="00E91DDD">
              <w:rPr>
                <w:rFonts w:ascii="Times New Roman" w:hAnsi="Times New Roman" w:cs="Times New Roman"/>
                <w:sz w:val="20"/>
              </w:rPr>
              <w:t>reported being frustrated by having to write things down while reading.  To them, answering questions while reading was seen as an interruption to the process of thinking.  This took additional time – and students weren’</w:t>
            </w:r>
            <w:r w:rsidR="00681BEC">
              <w:rPr>
                <w:rFonts w:ascii="Times New Roman" w:hAnsi="Times New Roman" w:cs="Times New Roman"/>
                <w:sz w:val="20"/>
              </w:rPr>
              <w:t>t happy about that</w:t>
            </w:r>
            <w:r w:rsidR="00E91DDD">
              <w:rPr>
                <w:rFonts w:ascii="Times New Roman" w:hAnsi="Times New Roman" w:cs="Times New Roman"/>
                <w:sz w:val="20"/>
              </w:rPr>
              <w:t>.  Instead, they wanted to be reading.</w:t>
            </w:r>
          </w:p>
        </w:tc>
        <w:tc>
          <w:tcPr>
            <w:tcW w:w="5508" w:type="dxa"/>
          </w:tcPr>
          <w:p w:rsidR="00E225BF" w:rsidRPr="00E91DDD" w:rsidRDefault="00E91DDD" w:rsidP="00125A0B">
            <w:pPr>
              <w:rPr>
                <w:rFonts w:ascii="Times New Roman" w:hAnsi="Times New Roman" w:cs="Times New Roman"/>
                <w:sz w:val="20"/>
                <w:szCs w:val="20"/>
              </w:rPr>
            </w:pPr>
            <w:r>
              <w:rPr>
                <w:rFonts w:ascii="Times New Roman" w:hAnsi="Times New Roman" w:cs="Times New Roman"/>
                <w:sz w:val="20"/>
                <w:szCs w:val="20"/>
              </w:rPr>
              <w:t>“S</w:t>
            </w:r>
            <w:r w:rsidRPr="00E91DDD">
              <w:rPr>
                <w:rFonts w:ascii="Times New Roman" w:hAnsi="Times New Roman" w:cs="Times New Roman"/>
                <w:sz w:val="20"/>
                <w:szCs w:val="20"/>
              </w:rPr>
              <w:t xml:space="preserve">ometimes it was a little hard to find the </w:t>
            </w:r>
            <w:proofErr w:type="spellStart"/>
            <w:r w:rsidRPr="00E91DDD">
              <w:rPr>
                <w:rFonts w:ascii="Times New Roman" w:hAnsi="Times New Roman" w:cs="Times New Roman"/>
                <w:sz w:val="20"/>
                <w:szCs w:val="20"/>
              </w:rPr>
              <w:t>stactics</w:t>
            </w:r>
            <w:proofErr w:type="spellEnd"/>
            <w:r w:rsidRPr="00E91DDD">
              <w:rPr>
                <w:rFonts w:ascii="Times New Roman" w:hAnsi="Times New Roman" w:cs="Times New Roman"/>
                <w:sz w:val="20"/>
                <w:szCs w:val="20"/>
              </w:rPr>
              <w:t xml:space="preserve"> star </w:t>
            </w:r>
            <w:proofErr w:type="spellStart"/>
            <w:r w:rsidRPr="00E91DDD">
              <w:rPr>
                <w:rFonts w:ascii="Times New Roman" w:hAnsi="Times New Roman" w:cs="Times New Roman"/>
                <w:sz w:val="20"/>
                <w:szCs w:val="20"/>
              </w:rPr>
              <w:t>staments</w:t>
            </w:r>
            <w:proofErr w:type="spellEnd"/>
            <w:r w:rsidRPr="00E91DDD">
              <w:rPr>
                <w:rFonts w:ascii="Times New Roman" w:hAnsi="Times New Roman" w:cs="Times New Roman"/>
                <w:sz w:val="20"/>
                <w:szCs w:val="20"/>
              </w:rPr>
              <w:t xml:space="preserve"> and stories in the article that </w:t>
            </w:r>
            <w:proofErr w:type="spellStart"/>
            <w:r w:rsidRPr="00E91DDD">
              <w:rPr>
                <w:rFonts w:ascii="Times New Roman" w:hAnsi="Times New Roman" w:cs="Times New Roman"/>
                <w:sz w:val="20"/>
                <w:szCs w:val="20"/>
              </w:rPr>
              <w:t>i</w:t>
            </w:r>
            <w:proofErr w:type="spellEnd"/>
            <w:r w:rsidRPr="00E91DDD">
              <w:rPr>
                <w:rFonts w:ascii="Times New Roman" w:hAnsi="Times New Roman" w:cs="Times New Roman"/>
                <w:sz w:val="20"/>
                <w:szCs w:val="20"/>
              </w:rPr>
              <w:t xml:space="preserve"> was</w:t>
            </w:r>
            <w:r>
              <w:rPr>
                <w:rFonts w:ascii="Times New Roman" w:hAnsi="Times New Roman" w:cs="Times New Roman"/>
                <w:sz w:val="20"/>
                <w:szCs w:val="20"/>
              </w:rPr>
              <w:t xml:space="preserve"> </w:t>
            </w:r>
            <w:r w:rsidRPr="00E91DDD">
              <w:rPr>
                <w:rFonts w:ascii="Times New Roman" w:hAnsi="Times New Roman" w:cs="Times New Roman"/>
                <w:sz w:val="20"/>
                <w:szCs w:val="20"/>
              </w:rPr>
              <w:t>a reading</w:t>
            </w:r>
            <w:r>
              <w:rPr>
                <w:rFonts w:ascii="Times New Roman" w:hAnsi="Times New Roman" w:cs="Times New Roman"/>
                <w:sz w:val="20"/>
                <w:szCs w:val="20"/>
              </w:rPr>
              <w:t>.”</w:t>
            </w:r>
          </w:p>
        </w:tc>
      </w:tr>
      <w:tr w:rsidR="00E225BF" w:rsidRPr="00E225BF" w:rsidTr="00E225BF">
        <w:tblPrEx>
          <w:shd w:val="clear" w:color="auto" w:fill="auto"/>
        </w:tblPrEx>
        <w:tc>
          <w:tcPr>
            <w:tcW w:w="5494" w:type="dxa"/>
            <w:vMerge/>
          </w:tcPr>
          <w:p w:rsidR="00E225BF" w:rsidRPr="00E225BF" w:rsidRDefault="00E225BF" w:rsidP="00125A0B">
            <w:pPr>
              <w:rPr>
                <w:rFonts w:ascii="Times New Roman" w:hAnsi="Times New Roman" w:cs="Times New Roman"/>
              </w:rPr>
            </w:pPr>
          </w:p>
        </w:tc>
        <w:tc>
          <w:tcPr>
            <w:tcW w:w="5508" w:type="dxa"/>
          </w:tcPr>
          <w:p w:rsidR="00E225BF" w:rsidRPr="00E91DDD" w:rsidRDefault="00E91DDD" w:rsidP="00E91DDD">
            <w:pPr>
              <w:rPr>
                <w:rFonts w:ascii="Times New Roman" w:hAnsi="Times New Roman" w:cs="Times New Roman"/>
                <w:sz w:val="20"/>
                <w:szCs w:val="20"/>
              </w:rPr>
            </w:pPr>
            <w:r>
              <w:rPr>
                <w:rFonts w:ascii="Times New Roman" w:hAnsi="Times New Roman" w:cs="Times New Roman"/>
                <w:sz w:val="20"/>
                <w:szCs w:val="20"/>
              </w:rPr>
              <w:t>“</w:t>
            </w:r>
            <w:r w:rsidRPr="00E91DDD">
              <w:rPr>
                <w:rFonts w:ascii="Times New Roman" w:hAnsi="Times New Roman" w:cs="Times New Roman"/>
                <w:sz w:val="20"/>
                <w:szCs w:val="20"/>
              </w:rPr>
              <w:t xml:space="preserve">Most of the time this is a good </w:t>
            </w:r>
            <w:r>
              <w:rPr>
                <w:rFonts w:ascii="Times New Roman" w:hAnsi="Times New Roman" w:cs="Times New Roman"/>
                <w:sz w:val="20"/>
                <w:szCs w:val="20"/>
              </w:rPr>
              <w:t>nonfiction reading strategy but…</w:t>
            </w:r>
            <w:r w:rsidRPr="00E91DDD">
              <w:rPr>
                <w:rFonts w:ascii="Times New Roman" w:hAnsi="Times New Roman" w:cs="Times New Roman"/>
                <w:sz w:val="20"/>
                <w:szCs w:val="20"/>
              </w:rPr>
              <w:t xml:space="preserve">it could be negative because some people read it and understand it very well and so getting into </w:t>
            </w:r>
            <w:proofErr w:type="spellStart"/>
            <w:r w:rsidRPr="00E91DDD">
              <w:rPr>
                <w:rFonts w:ascii="Times New Roman" w:hAnsi="Times New Roman" w:cs="Times New Roman"/>
                <w:sz w:val="20"/>
                <w:szCs w:val="20"/>
              </w:rPr>
              <w:t>fiding</w:t>
            </w:r>
            <w:proofErr w:type="spellEnd"/>
            <w:r w:rsidRPr="00E91DDD">
              <w:rPr>
                <w:rFonts w:ascii="Times New Roman" w:hAnsi="Times New Roman" w:cs="Times New Roman"/>
                <w:sz w:val="20"/>
                <w:szCs w:val="20"/>
              </w:rPr>
              <w:t xml:space="preserve"> things might </w:t>
            </w:r>
            <w:proofErr w:type="spellStart"/>
            <w:r w:rsidRPr="00E91DDD">
              <w:rPr>
                <w:rFonts w:ascii="Times New Roman" w:hAnsi="Times New Roman" w:cs="Times New Roman"/>
                <w:sz w:val="20"/>
                <w:szCs w:val="20"/>
              </w:rPr>
              <w:t>destract</w:t>
            </w:r>
            <w:proofErr w:type="spellEnd"/>
            <w:r w:rsidRPr="00E91DDD">
              <w:rPr>
                <w:rFonts w:ascii="Times New Roman" w:hAnsi="Times New Roman" w:cs="Times New Roman"/>
                <w:sz w:val="20"/>
                <w:szCs w:val="20"/>
              </w:rPr>
              <w:t xml:space="preserve"> the reader from the reading and they might forget what the text is about because they are trying to just read the text for the questions and not reading it to understand it.</w:t>
            </w:r>
            <w:r w:rsidR="00021BEE">
              <w:rPr>
                <w:rFonts w:ascii="Times New Roman" w:hAnsi="Times New Roman" w:cs="Times New Roman"/>
                <w:sz w:val="20"/>
                <w:szCs w:val="20"/>
              </w:rPr>
              <w:t>”</w:t>
            </w:r>
          </w:p>
        </w:tc>
      </w:tr>
      <w:tr w:rsidR="00E225BF" w:rsidRPr="00E225BF" w:rsidTr="00E225BF">
        <w:tblPrEx>
          <w:shd w:val="clear" w:color="auto" w:fill="auto"/>
        </w:tblPrEx>
        <w:tc>
          <w:tcPr>
            <w:tcW w:w="5494" w:type="dxa"/>
            <w:vMerge/>
          </w:tcPr>
          <w:p w:rsidR="00E225BF" w:rsidRPr="00E225BF" w:rsidRDefault="00E225BF" w:rsidP="00125A0B">
            <w:pPr>
              <w:rPr>
                <w:rFonts w:ascii="Times New Roman" w:hAnsi="Times New Roman" w:cs="Times New Roman"/>
              </w:rPr>
            </w:pPr>
          </w:p>
        </w:tc>
        <w:tc>
          <w:tcPr>
            <w:tcW w:w="5508" w:type="dxa"/>
          </w:tcPr>
          <w:p w:rsidR="00E225BF" w:rsidRPr="00021BEE" w:rsidRDefault="00021BEE" w:rsidP="00125A0B">
            <w:pPr>
              <w:rPr>
                <w:rFonts w:ascii="Times New Roman" w:hAnsi="Times New Roman" w:cs="Times New Roman"/>
                <w:sz w:val="20"/>
                <w:szCs w:val="20"/>
              </w:rPr>
            </w:pPr>
            <w:r>
              <w:rPr>
                <w:rFonts w:ascii="Times New Roman" w:hAnsi="Times New Roman" w:cs="Times New Roman"/>
                <w:sz w:val="20"/>
                <w:szCs w:val="20"/>
              </w:rPr>
              <w:t>“</w:t>
            </w:r>
            <w:r w:rsidRPr="00021BEE">
              <w:rPr>
                <w:rFonts w:ascii="Times New Roman" w:hAnsi="Times New Roman" w:cs="Times New Roman"/>
                <w:sz w:val="20"/>
                <w:szCs w:val="20"/>
              </w:rPr>
              <w:t>It takes much longer in order to complete the assignment. Other than that, it was really helpful.</w:t>
            </w:r>
            <w:r>
              <w:rPr>
                <w:rFonts w:ascii="Times New Roman" w:hAnsi="Times New Roman" w:cs="Times New Roman"/>
                <w:sz w:val="20"/>
                <w:szCs w:val="20"/>
              </w:rPr>
              <w:t>”</w:t>
            </w:r>
          </w:p>
        </w:tc>
      </w:tr>
      <w:tr w:rsidR="00E225BF" w:rsidRPr="00E225BF" w:rsidTr="00E225BF">
        <w:tblPrEx>
          <w:shd w:val="clear" w:color="auto" w:fill="auto"/>
          <w:tblCellMar>
            <w:top w:w="0" w:type="dxa"/>
            <w:left w:w="108" w:type="dxa"/>
            <w:bottom w:w="0" w:type="dxa"/>
            <w:right w:w="108" w:type="dxa"/>
          </w:tblCellMar>
        </w:tblPrEx>
        <w:tc>
          <w:tcPr>
            <w:tcW w:w="11002" w:type="dxa"/>
            <w:gridSpan w:val="2"/>
          </w:tcPr>
          <w:p w:rsidR="00E225BF" w:rsidRDefault="00E225BF">
            <w:pPr>
              <w:rPr>
                <w:rFonts w:ascii="Times New Roman" w:hAnsi="Times New Roman" w:cs="Times New Roman"/>
                <w:sz w:val="20"/>
              </w:rPr>
            </w:pPr>
            <w:r w:rsidRPr="00E225BF">
              <w:rPr>
                <w:rFonts w:ascii="Times New Roman" w:hAnsi="Times New Roman" w:cs="Times New Roman"/>
                <w:b/>
                <w:i/>
                <w:sz w:val="20"/>
              </w:rPr>
              <w:t>Summary Thoughts:</w:t>
            </w:r>
            <w:r w:rsidRPr="00E225BF">
              <w:rPr>
                <w:rFonts w:ascii="Times New Roman" w:hAnsi="Times New Roman" w:cs="Times New Roman"/>
                <w:sz w:val="20"/>
              </w:rPr>
              <w:t xml:space="preserve">  </w:t>
            </w:r>
          </w:p>
          <w:p w:rsidR="00E225BF" w:rsidRPr="00E225BF" w:rsidRDefault="00E225BF">
            <w:pPr>
              <w:rPr>
                <w:rFonts w:ascii="Times New Roman" w:hAnsi="Times New Roman" w:cs="Times New Roman"/>
                <w:sz w:val="12"/>
              </w:rPr>
            </w:pPr>
          </w:p>
          <w:p w:rsidR="00E225BF" w:rsidRPr="00E225BF" w:rsidRDefault="00FF15CA">
            <w:pPr>
              <w:rPr>
                <w:rFonts w:ascii="Times New Roman" w:hAnsi="Times New Roman" w:cs="Times New Roman"/>
                <w:sz w:val="20"/>
              </w:rPr>
            </w:pPr>
            <w:r>
              <w:rPr>
                <w:rFonts w:ascii="Times New Roman" w:hAnsi="Times New Roman" w:cs="Times New Roman"/>
                <w:sz w:val="20"/>
              </w:rPr>
              <w:t xml:space="preserve">We should be thrilled that students see statistics, star statements and stories as a tool for </w:t>
            </w:r>
            <w:r w:rsidR="00681BEC">
              <w:rPr>
                <w:rFonts w:ascii="Times New Roman" w:hAnsi="Times New Roman" w:cs="Times New Roman"/>
                <w:sz w:val="20"/>
              </w:rPr>
              <w:t>determining the reliability of nonfiction text.  This is an important lesson for students to learn in order to be literate consumers of scientific texts and current events connected to science.  That trend in the positive comments left by students is proof positive that this strategy is worth introducing kids to.</w:t>
            </w:r>
          </w:p>
          <w:p w:rsidR="00E225BF" w:rsidRPr="00E225BF" w:rsidRDefault="00E225BF">
            <w:pPr>
              <w:rPr>
                <w:rFonts w:ascii="Times New Roman" w:hAnsi="Times New Roman" w:cs="Times New Roman"/>
                <w:sz w:val="12"/>
              </w:rPr>
            </w:pPr>
          </w:p>
          <w:p w:rsidR="00E225BF" w:rsidRPr="00E225BF" w:rsidRDefault="00021BEE">
            <w:pPr>
              <w:rPr>
                <w:rFonts w:ascii="Times New Roman" w:hAnsi="Times New Roman" w:cs="Times New Roman"/>
              </w:rPr>
            </w:pPr>
            <w:r>
              <w:rPr>
                <w:rFonts w:ascii="Times New Roman" w:hAnsi="Times New Roman" w:cs="Times New Roman"/>
                <w:sz w:val="20"/>
              </w:rPr>
              <w:t>A trend that we are seeing in the feedback students are giving us on our nonfiction reading strategies is that completing the worksheet feels like an interruption to the actual task of reading and understanding a text.  That’s the same kind of comments we’ve seen mentioned as negatives in our previous activities too.  To address this, we need to be clear from the beginning that “completing the worksheet” doesn’t mean “filling in eve</w:t>
            </w:r>
            <w:r w:rsidR="00681BEC">
              <w:rPr>
                <w:rFonts w:ascii="Times New Roman" w:hAnsi="Times New Roman" w:cs="Times New Roman"/>
                <w:sz w:val="20"/>
              </w:rPr>
              <w:t>ry blank</w:t>
            </w:r>
            <w:r>
              <w:rPr>
                <w:rFonts w:ascii="Times New Roman" w:hAnsi="Times New Roman" w:cs="Times New Roman"/>
                <w:sz w:val="20"/>
              </w:rPr>
              <w:t xml:space="preserve">.”  Instead, we need to get kids to see the worksheet as a guide – a collection of thoughts worth considering while reading instead of as a task that has to be completed.  We’re trying to teach kids the behaviors necessary to tackle nonfiction texts – not trying to teach them to complete handouts.  That’s an instructional message we need to repeat over and over again.  </w:t>
            </w:r>
            <w:r w:rsidR="00E225BF" w:rsidRPr="00E225BF">
              <w:rPr>
                <w:rFonts w:ascii="Times New Roman" w:hAnsi="Times New Roman" w:cs="Times New Roman"/>
                <w:sz w:val="20"/>
              </w:rPr>
              <w:t xml:space="preserve">  </w:t>
            </w:r>
          </w:p>
        </w:tc>
      </w:tr>
    </w:tbl>
    <w:p w:rsidR="003C0FD6" w:rsidRPr="00E225BF" w:rsidRDefault="003C0FD6">
      <w:pPr>
        <w:rPr>
          <w:rFonts w:ascii="Times New Roman" w:hAnsi="Times New Roman" w:cs="Times New Roman"/>
        </w:rPr>
      </w:pPr>
    </w:p>
    <w:sectPr w:rsidR="003C0FD6" w:rsidRPr="00E225BF" w:rsidSect="007075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drawingGridHorizontalSpacing w:val="110"/>
  <w:displayHorizontalDrawingGridEvery w:val="2"/>
  <w:characterSpacingControl w:val="doNotCompress"/>
  <w:compat/>
  <w:rsids>
    <w:rsidRoot w:val="007075A7"/>
    <w:rsid w:val="00021BEE"/>
    <w:rsid w:val="00061D22"/>
    <w:rsid w:val="001A3A96"/>
    <w:rsid w:val="001C607E"/>
    <w:rsid w:val="003C0FD6"/>
    <w:rsid w:val="004D74A8"/>
    <w:rsid w:val="00540830"/>
    <w:rsid w:val="00681BEC"/>
    <w:rsid w:val="007075A7"/>
    <w:rsid w:val="00AF682C"/>
    <w:rsid w:val="00D43EDD"/>
    <w:rsid w:val="00E225BF"/>
    <w:rsid w:val="00E91DDD"/>
    <w:rsid w:val="00F870F6"/>
    <w:rsid w:val="00FF1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wferriter</cp:lastModifiedBy>
  <cp:revision>4</cp:revision>
  <dcterms:created xsi:type="dcterms:W3CDTF">2013-09-19T12:53:00Z</dcterms:created>
  <dcterms:modified xsi:type="dcterms:W3CDTF">2013-09-19T13:15:00Z</dcterms:modified>
</cp:coreProperties>
</file>