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25" w:rsidRPr="003A00E7" w:rsidRDefault="00904E25" w:rsidP="00904E25">
      <w:pPr>
        <w:spacing w:after="0"/>
        <w:rPr>
          <w:b/>
          <w:i/>
          <w:sz w:val="28"/>
        </w:rPr>
      </w:pPr>
      <w:r w:rsidRPr="003A00E7">
        <w:rPr>
          <w:b/>
          <w:i/>
          <w:sz w:val="28"/>
        </w:rPr>
        <w:t>Salem Middle School</w:t>
      </w:r>
    </w:p>
    <w:p w:rsidR="00904E25" w:rsidRPr="00727BEC" w:rsidRDefault="00904E25" w:rsidP="00904E25">
      <w:pPr>
        <w:spacing w:after="0"/>
        <w:rPr>
          <w:i/>
          <w:sz w:val="24"/>
        </w:rPr>
      </w:pPr>
      <w:r w:rsidRPr="00727BEC">
        <w:rPr>
          <w:i/>
          <w:sz w:val="24"/>
        </w:rPr>
        <w:t>Collective Commitments</w:t>
      </w:r>
    </w:p>
    <w:p w:rsidR="00904E25" w:rsidRPr="00727BEC" w:rsidRDefault="00904E25" w:rsidP="00904E25">
      <w:pPr>
        <w:spacing w:after="0"/>
        <w:rPr>
          <w:sz w:val="16"/>
        </w:rPr>
      </w:pPr>
    </w:p>
    <w:p w:rsidR="00904E25" w:rsidRDefault="00904E25" w:rsidP="00904E25">
      <w:pPr>
        <w:spacing w:after="0"/>
      </w:pPr>
      <w:r>
        <w:t xml:space="preserve">The highest functioning professional learning communities agree to a core set of behaviors and beliefs that govern their work and guide their decisions.  These core behaviors – which we have chosen to call collective commitments – can serve as reference points for everyone within the organization.  Our collective commitments – which were developed in the spring of 2012 – are informed by the key learning community behaviors outlined in </w:t>
      </w:r>
      <w:r w:rsidRPr="006325D7">
        <w:rPr>
          <w:i/>
        </w:rPr>
        <w:t>Learning by Doing</w:t>
      </w:r>
      <w:r>
        <w:rPr>
          <w:i/>
        </w:rPr>
        <w:t xml:space="preserve"> (2010)</w:t>
      </w:r>
      <w:r>
        <w:t xml:space="preserve">.  </w:t>
      </w:r>
    </w:p>
    <w:p w:rsidR="00904E25" w:rsidRPr="00727BEC" w:rsidRDefault="00904E25" w:rsidP="00904E25">
      <w:pPr>
        <w:spacing w:after="0"/>
        <w:rPr>
          <w:sz w:val="16"/>
        </w:rPr>
      </w:pPr>
    </w:p>
    <w:tbl>
      <w:tblPr>
        <w:tblStyle w:val="TableGrid"/>
        <w:tblW w:w="0" w:type="auto"/>
        <w:tblInd w:w="-7" w:type="dxa"/>
        <w:tblLook w:val="04A0"/>
      </w:tblPr>
      <w:tblGrid>
        <w:gridCol w:w="7"/>
        <w:gridCol w:w="918"/>
        <w:gridCol w:w="10080"/>
        <w:gridCol w:w="11"/>
      </w:tblGrid>
      <w:tr w:rsidR="00904E25" w:rsidTr="008505D6">
        <w:trPr>
          <w:gridBefore w:val="1"/>
          <w:gridAfter w:val="1"/>
          <w:wBefore w:w="7" w:type="dxa"/>
          <w:wAfter w:w="11" w:type="dxa"/>
        </w:trPr>
        <w:tc>
          <w:tcPr>
            <w:tcW w:w="10998" w:type="dxa"/>
            <w:gridSpan w:val="2"/>
            <w:shd w:val="clear" w:color="auto" w:fill="0D0D0D" w:themeFill="text1" w:themeFillTint="F2"/>
          </w:tcPr>
          <w:p w:rsidR="00904E25" w:rsidRPr="003A00E7" w:rsidRDefault="00904E25" w:rsidP="008505D6">
            <w:pPr>
              <w:rPr>
                <w:b/>
                <w:i/>
                <w:color w:val="FFFFFF" w:themeColor="background1"/>
                <w:sz w:val="28"/>
              </w:rPr>
            </w:pPr>
            <w:r w:rsidRPr="003A00E7">
              <w:rPr>
                <w:b/>
                <w:i/>
                <w:color w:val="FFFFFF" w:themeColor="background1"/>
                <w:sz w:val="24"/>
              </w:rPr>
              <w:t>Salem Middle School Collective Commitments</w:t>
            </w:r>
          </w:p>
        </w:tc>
      </w:tr>
      <w:tr w:rsidR="00904E25" w:rsidTr="009854F8">
        <w:tblPrEx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gridAfter w:val="1"/>
          <w:wAfter w:w="11" w:type="dxa"/>
        </w:trPr>
        <w:tc>
          <w:tcPr>
            <w:tcW w:w="925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04E25" w:rsidRPr="00873360" w:rsidRDefault="00904E25" w:rsidP="008505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(A). </w:t>
            </w:r>
            <w:r w:rsidRPr="00873360">
              <w:rPr>
                <w:b/>
              </w:rPr>
              <w:t>Developing a Collaborative Culture.</w:t>
            </w:r>
          </w:p>
        </w:tc>
        <w:tc>
          <w:tcPr>
            <w:tcW w:w="10080" w:type="dxa"/>
          </w:tcPr>
          <w:p w:rsidR="00904E25" w:rsidRDefault="00904E25" w:rsidP="00782D43">
            <w:r w:rsidRPr="006325D7">
              <w:rPr>
                <w:rFonts w:cs="ITCSymbolStd-Book"/>
                <w:szCs w:val="18"/>
              </w:rPr>
              <w:t xml:space="preserve">We </w:t>
            </w:r>
            <w:r>
              <w:rPr>
                <w:rFonts w:cs="ITCSymbolStd-Book"/>
                <w:szCs w:val="18"/>
              </w:rPr>
              <w:t>will join</w:t>
            </w:r>
            <w:r w:rsidRPr="006325D7">
              <w:rPr>
                <w:rFonts w:cs="ITCSymbolStd-Book"/>
                <w:szCs w:val="18"/>
              </w:rPr>
              <w:t xml:space="preserve"> collaborative teams </w:t>
            </w:r>
            <w:r>
              <w:rPr>
                <w:rFonts w:cs="ITCSymbolStd-Book"/>
                <w:szCs w:val="18"/>
              </w:rPr>
              <w:t>that</w:t>
            </w:r>
            <w:r w:rsidRPr="006325D7">
              <w:rPr>
                <w:rFonts w:cs="ITCSymbolStd-Book"/>
                <w:szCs w:val="18"/>
              </w:rPr>
              <w:t xml:space="preserve"> </w:t>
            </w:r>
            <w:r>
              <w:rPr>
                <w:rFonts w:cs="ITCSymbolStd-Book"/>
                <w:szCs w:val="18"/>
              </w:rPr>
              <w:t xml:space="preserve">work </w:t>
            </w:r>
            <w:r w:rsidRPr="006325D7">
              <w:rPr>
                <w:rFonts w:cs="ITCSymbolStd-Book"/>
                <w:szCs w:val="18"/>
              </w:rPr>
              <w:t xml:space="preserve">interdependently to achieve common goals that directly impact student achievement. </w:t>
            </w:r>
            <w:r>
              <w:rPr>
                <w:rFonts w:cs="ITCSymbolStd-Book"/>
                <w:szCs w:val="18"/>
              </w:rPr>
              <w:t>Our team will be clear about the critical questions that should drive our collaborative efforts (</w:t>
            </w:r>
            <w:r w:rsidR="00782D43">
              <w:rPr>
                <w:rFonts w:cs="ITCSymbolStd-Book"/>
                <w:i/>
                <w:szCs w:val="18"/>
              </w:rPr>
              <w:t>LBD</w:t>
            </w:r>
            <w:r w:rsidRPr="00640BAD">
              <w:rPr>
                <w:rFonts w:cs="ITCSymbolStd-Book"/>
                <w:i/>
                <w:szCs w:val="18"/>
              </w:rPr>
              <w:t>, p. 21</w:t>
            </w:r>
            <w:r>
              <w:rPr>
                <w:rFonts w:cs="ITCSymbolStd-Book"/>
                <w:szCs w:val="18"/>
              </w:rPr>
              <w:t xml:space="preserve">).  </w:t>
            </w:r>
          </w:p>
        </w:tc>
      </w:tr>
      <w:tr w:rsidR="00904E25" w:rsidTr="009854F8">
        <w:tblPrEx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gridAfter w:val="1"/>
          <w:wAfter w:w="11" w:type="dxa"/>
        </w:trPr>
        <w:tc>
          <w:tcPr>
            <w:tcW w:w="925" w:type="dxa"/>
            <w:gridSpan w:val="2"/>
            <w:vMerge/>
            <w:shd w:val="clear" w:color="auto" w:fill="D9D9D9" w:themeFill="background1" w:themeFillShade="D9"/>
          </w:tcPr>
          <w:p w:rsidR="00904E25" w:rsidRDefault="00904E25" w:rsidP="008505D6"/>
        </w:tc>
        <w:tc>
          <w:tcPr>
            <w:tcW w:w="10080" w:type="dxa"/>
          </w:tcPr>
          <w:p w:rsidR="00904E25" w:rsidRPr="006325D7" w:rsidRDefault="00904E25" w:rsidP="00A116AC">
            <w:pPr>
              <w:autoSpaceDE w:val="0"/>
              <w:autoSpaceDN w:val="0"/>
              <w:adjustRightInd w:val="0"/>
              <w:rPr>
                <w:rFonts w:cs="ITCSymbolStd-Book"/>
                <w:szCs w:val="18"/>
              </w:rPr>
            </w:pPr>
            <w:r w:rsidRPr="00873360">
              <w:rPr>
                <w:rFonts w:cs="ITCSymbolStd-Book"/>
                <w:szCs w:val="18"/>
              </w:rPr>
              <w:t xml:space="preserve">We </w:t>
            </w:r>
            <w:r>
              <w:rPr>
                <w:rFonts w:cs="ITCSymbolStd-Book"/>
                <w:szCs w:val="18"/>
              </w:rPr>
              <w:t xml:space="preserve">will identify </w:t>
            </w:r>
            <w:r w:rsidRPr="00873360">
              <w:rPr>
                <w:rFonts w:cs="ITCSymbolStd-Book"/>
                <w:szCs w:val="18"/>
              </w:rPr>
              <w:t>and hon</w:t>
            </w:r>
            <w:r>
              <w:rPr>
                <w:rFonts w:cs="ITCSymbolStd-Book"/>
                <w:szCs w:val="18"/>
              </w:rPr>
              <w:t xml:space="preserve">or the commitments we have made </w:t>
            </w:r>
            <w:r w:rsidRPr="00873360">
              <w:rPr>
                <w:rFonts w:cs="ITCSymbolStd-Book"/>
                <w:szCs w:val="18"/>
              </w:rPr>
              <w:t>to the members of our collabor</w:t>
            </w:r>
            <w:r>
              <w:rPr>
                <w:rFonts w:cs="ITCSymbolStd-Book"/>
                <w:szCs w:val="18"/>
              </w:rPr>
              <w:t xml:space="preserve">ative teams in order to enhance </w:t>
            </w:r>
            <w:r w:rsidR="001738EB">
              <w:rPr>
                <w:rFonts w:cs="ITCSymbolStd-Book"/>
                <w:szCs w:val="18"/>
              </w:rPr>
              <w:t>our effectiveness</w:t>
            </w:r>
            <w:r>
              <w:rPr>
                <w:rFonts w:cs="ITCSymbolStd-Book"/>
                <w:szCs w:val="18"/>
              </w:rPr>
              <w:t xml:space="preserve">. These articulated </w:t>
            </w:r>
            <w:r w:rsidRPr="00873360">
              <w:rPr>
                <w:rFonts w:cs="ITCSymbolStd-Book"/>
                <w:szCs w:val="18"/>
              </w:rPr>
              <w:t xml:space="preserve">norms </w:t>
            </w:r>
            <w:r>
              <w:rPr>
                <w:rFonts w:cs="ITCSymbolStd-Book"/>
                <w:szCs w:val="18"/>
              </w:rPr>
              <w:t>will</w:t>
            </w:r>
            <w:r w:rsidRPr="00873360">
              <w:rPr>
                <w:rFonts w:cs="ITCSymbolStd-Book"/>
                <w:szCs w:val="18"/>
              </w:rPr>
              <w:t xml:space="preserve"> cl</w:t>
            </w:r>
            <w:r>
              <w:rPr>
                <w:rFonts w:cs="ITCSymbolStd-Book"/>
                <w:szCs w:val="18"/>
              </w:rPr>
              <w:t xml:space="preserve">arify expectations of how our </w:t>
            </w:r>
            <w:r w:rsidRPr="00873360">
              <w:rPr>
                <w:rFonts w:cs="ITCSymbolStd-Book"/>
                <w:szCs w:val="18"/>
              </w:rPr>
              <w:t xml:space="preserve">team will operate, and we </w:t>
            </w:r>
            <w:r>
              <w:rPr>
                <w:rFonts w:cs="ITCSymbolStd-Book"/>
                <w:szCs w:val="18"/>
              </w:rPr>
              <w:t xml:space="preserve">will </w:t>
            </w:r>
            <w:r w:rsidRPr="00873360">
              <w:rPr>
                <w:rFonts w:cs="ITCSymbolStd-Book"/>
                <w:szCs w:val="18"/>
              </w:rPr>
              <w:t>use th</w:t>
            </w:r>
            <w:r>
              <w:rPr>
                <w:rFonts w:cs="ITCSymbolStd-Book"/>
                <w:szCs w:val="18"/>
              </w:rPr>
              <w:t xml:space="preserve">em to address problems that may </w:t>
            </w:r>
            <w:r w:rsidRPr="00873360">
              <w:rPr>
                <w:rFonts w:cs="ITCSymbolStd-Book"/>
                <w:szCs w:val="18"/>
              </w:rPr>
              <w:t>occur on the team.</w:t>
            </w:r>
            <w:r w:rsidR="00782D43">
              <w:rPr>
                <w:rFonts w:cs="ITCSymbolStd-Book"/>
                <w:szCs w:val="18"/>
              </w:rPr>
              <w:t xml:space="preserve"> </w:t>
            </w:r>
            <w:r w:rsidR="00782D43" w:rsidRPr="00782D43">
              <w:rPr>
                <w:rFonts w:cs="ITCSymbolStd-Book"/>
                <w:i/>
                <w:szCs w:val="18"/>
              </w:rPr>
              <w:t>(LBD, p. 132)</w:t>
            </w:r>
          </w:p>
        </w:tc>
      </w:tr>
      <w:tr w:rsidR="00904E25" w:rsidTr="009854F8">
        <w:tblPrEx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gridAfter w:val="1"/>
          <w:wAfter w:w="11" w:type="dxa"/>
        </w:trPr>
        <w:tc>
          <w:tcPr>
            <w:tcW w:w="92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4E25" w:rsidRDefault="00904E25" w:rsidP="008505D6"/>
        </w:tc>
        <w:tc>
          <w:tcPr>
            <w:tcW w:w="10080" w:type="dxa"/>
            <w:tcBorders>
              <w:bottom w:val="single" w:sz="4" w:space="0" w:color="auto"/>
            </w:tcBorders>
          </w:tcPr>
          <w:p w:rsidR="00904E25" w:rsidRPr="00873360" w:rsidRDefault="00904E25" w:rsidP="008505D6">
            <w:pPr>
              <w:autoSpaceDE w:val="0"/>
              <w:autoSpaceDN w:val="0"/>
              <w:adjustRightInd w:val="0"/>
              <w:rPr>
                <w:rFonts w:cs="ITCSymbolStd-Book"/>
                <w:szCs w:val="18"/>
              </w:rPr>
            </w:pPr>
            <w:r>
              <w:rPr>
                <w:rFonts w:cs="ITCSymbolStd-Book"/>
                <w:szCs w:val="18"/>
              </w:rPr>
              <w:t>We will</w:t>
            </w:r>
            <w:r w:rsidRPr="00873360">
              <w:rPr>
                <w:rFonts w:cs="ITCSymbolStd-Book"/>
                <w:szCs w:val="18"/>
              </w:rPr>
              <w:t xml:space="preserve"> recognize that conflict is an essential and inevitable by-product of a successful substantive change effort. </w:t>
            </w:r>
            <w:r>
              <w:rPr>
                <w:rFonts w:cs="ITCSymbolStd-Book"/>
                <w:szCs w:val="18"/>
              </w:rPr>
              <w:t>We will</w:t>
            </w:r>
            <w:r w:rsidRPr="00873360">
              <w:rPr>
                <w:rFonts w:cs="ITCSymbolStd-Book"/>
                <w:szCs w:val="18"/>
              </w:rPr>
              <w:t xml:space="preserve"> thoug</w:t>
            </w:r>
            <w:r>
              <w:rPr>
                <w:rFonts w:cs="ITCSymbolStd-Book"/>
                <w:szCs w:val="18"/>
              </w:rPr>
              <w:t>htfully and purposefully create</w:t>
            </w:r>
            <w:r w:rsidRPr="00873360">
              <w:rPr>
                <w:rFonts w:cs="ITCSymbolStd-Book"/>
                <w:szCs w:val="18"/>
              </w:rPr>
              <w:t xml:space="preserve"> processes to help use conflict as a tool for learning together and improving the school.</w:t>
            </w:r>
            <w:r w:rsidR="00782D43">
              <w:rPr>
                <w:rFonts w:cs="ITCSymbolStd-Book"/>
                <w:szCs w:val="18"/>
              </w:rPr>
              <w:t xml:space="preserve"> </w:t>
            </w:r>
            <w:r w:rsidR="00782D43" w:rsidRPr="00782D43">
              <w:rPr>
                <w:rFonts w:cs="ITCSymbolStd-Book"/>
                <w:i/>
                <w:szCs w:val="18"/>
              </w:rPr>
              <w:t>(LBD, p. 230)</w:t>
            </w:r>
          </w:p>
        </w:tc>
      </w:tr>
      <w:tr w:rsidR="00904E25" w:rsidTr="008505D6">
        <w:tblPrEx>
          <w:tblCellMar>
            <w:left w:w="115" w:type="dxa"/>
            <w:right w:w="115" w:type="dxa"/>
          </w:tblCellMar>
        </w:tblPrEx>
        <w:trPr>
          <w:gridAfter w:val="1"/>
          <w:wAfter w:w="11" w:type="dxa"/>
        </w:trPr>
        <w:tc>
          <w:tcPr>
            <w:tcW w:w="11005" w:type="dxa"/>
            <w:gridSpan w:val="3"/>
            <w:shd w:val="clear" w:color="auto" w:fill="000000" w:themeFill="text1"/>
          </w:tcPr>
          <w:p w:rsidR="00904E25" w:rsidRDefault="00904E25" w:rsidP="008505D6"/>
        </w:tc>
      </w:tr>
      <w:tr w:rsidR="00904E25" w:rsidTr="009854F8">
        <w:tblPrEx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gridAfter w:val="1"/>
          <w:wAfter w:w="11" w:type="dxa"/>
        </w:trPr>
        <w:tc>
          <w:tcPr>
            <w:tcW w:w="925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04E25" w:rsidRPr="00873360" w:rsidRDefault="00904E25" w:rsidP="008505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(B). Developing a Culture Committed to Responding to Student Needs.</w:t>
            </w:r>
          </w:p>
        </w:tc>
        <w:tc>
          <w:tcPr>
            <w:tcW w:w="10080" w:type="dxa"/>
          </w:tcPr>
          <w:p w:rsidR="00904E25" w:rsidRDefault="00904E25" w:rsidP="008505D6">
            <w:pPr>
              <w:autoSpaceDE w:val="0"/>
              <w:autoSpaceDN w:val="0"/>
              <w:adjustRightInd w:val="0"/>
              <w:rPr>
                <w:rFonts w:cs="ITCSymbolStd-Book"/>
              </w:rPr>
            </w:pPr>
            <w:r>
              <w:rPr>
                <w:rFonts w:cs="ITCSymbolStd-Book"/>
              </w:rPr>
              <w:t xml:space="preserve">We will regard ongoing analysis of </w:t>
            </w:r>
            <w:r w:rsidRPr="002861FF">
              <w:rPr>
                <w:rFonts w:cs="ITCSymbolStd-Book"/>
              </w:rPr>
              <w:t>evidence of student learning as a c</w:t>
            </w:r>
            <w:r>
              <w:rPr>
                <w:rFonts w:cs="ITCSymbolStd-Book"/>
              </w:rPr>
              <w:t xml:space="preserve">ritical element in the teaching </w:t>
            </w:r>
            <w:r w:rsidRPr="002861FF">
              <w:rPr>
                <w:rFonts w:cs="ITCSymbolStd-Book"/>
              </w:rPr>
              <w:t xml:space="preserve">and learning process. </w:t>
            </w:r>
            <w:r>
              <w:rPr>
                <w:rFonts w:cs="ITCSymbolStd-Book"/>
              </w:rPr>
              <w:t xml:space="preserve">We will be provided with and/or collect frequent and </w:t>
            </w:r>
            <w:r w:rsidRPr="002861FF">
              <w:rPr>
                <w:rFonts w:cs="ITCSymbolStd-Book"/>
              </w:rPr>
              <w:t>t</w:t>
            </w:r>
            <w:r>
              <w:rPr>
                <w:rFonts w:cs="ITCSymbolStd-Book"/>
              </w:rPr>
              <w:t xml:space="preserve">imely information regarding the </w:t>
            </w:r>
            <w:r w:rsidRPr="002861FF">
              <w:rPr>
                <w:rFonts w:cs="ITCSymbolStd-Book"/>
              </w:rPr>
              <w:t xml:space="preserve">achievement of </w:t>
            </w:r>
            <w:r>
              <w:rPr>
                <w:rFonts w:cs="ITCSymbolStd-Book"/>
              </w:rPr>
              <w:t xml:space="preserve">our </w:t>
            </w:r>
            <w:r w:rsidRPr="002861FF">
              <w:rPr>
                <w:rFonts w:cs="ITCSymbolStd-Book"/>
              </w:rPr>
              <w:t>students.</w:t>
            </w:r>
            <w:r>
              <w:rPr>
                <w:rFonts w:cs="ITCSymbolStd-Book"/>
              </w:rPr>
              <w:t xml:space="preserve">  We will</w:t>
            </w:r>
            <w:r w:rsidRPr="002861FF">
              <w:rPr>
                <w:rFonts w:cs="ITCSymbolStd-Book"/>
              </w:rPr>
              <w:t xml:space="preserve"> use that information to:</w:t>
            </w:r>
          </w:p>
          <w:p w:rsidR="00904E25" w:rsidRPr="002861FF" w:rsidRDefault="00904E25" w:rsidP="008505D6">
            <w:pPr>
              <w:autoSpaceDE w:val="0"/>
              <w:autoSpaceDN w:val="0"/>
              <w:adjustRightInd w:val="0"/>
              <w:rPr>
                <w:rFonts w:cs="ITCSymbolStd-Book"/>
              </w:rPr>
            </w:pPr>
          </w:p>
          <w:p w:rsidR="00904E25" w:rsidRPr="002861FF" w:rsidRDefault="00904E25" w:rsidP="008505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ITCSymbolStd-Book"/>
              </w:rPr>
            </w:pPr>
            <w:r w:rsidRPr="002861FF">
              <w:rPr>
                <w:rFonts w:cs="ITCSymbolStd-Book"/>
              </w:rPr>
              <w:t>Respond to students who are experiencing difficulty</w:t>
            </w:r>
          </w:p>
          <w:p w:rsidR="00904E25" w:rsidRPr="002861FF" w:rsidRDefault="00904E25" w:rsidP="008505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ITCSymbolStd-Book"/>
              </w:rPr>
            </w:pPr>
            <w:r w:rsidRPr="002861FF">
              <w:rPr>
                <w:rFonts w:cs="ITCSymbolStd-Book"/>
              </w:rPr>
              <w:t>Enrich and extend the learning of students who are proficient</w:t>
            </w:r>
          </w:p>
          <w:p w:rsidR="00904E25" w:rsidRPr="002861FF" w:rsidRDefault="00904E25" w:rsidP="008505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ITCSymbolStd-Book"/>
              </w:rPr>
            </w:pPr>
            <w:r>
              <w:rPr>
                <w:rFonts w:cs="ITCSymbolStd-Book"/>
              </w:rPr>
              <w:t>I</w:t>
            </w:r>
            <w:r w:rsidRPr="002861FF">
              <w:rPr>
                <w:rFonts w:cs="ITCSymbolStd-Book"/>
              </w:rPr>
              <w:t>nform and improve the individual and collective practice of</w:t>
            </w:r>
            <w:r>
              <w:rPr>
                <w:rFonts w:cs="ITCSymbolStd-Book"/>
              </w:rPr>
              <w:t xml:space="preserve"> our </w:t>
            </w:r>
            <w:r w:rsidRPr="002861FF">
              <w:rPr>
                <w:rFonts w:cs="ITCSymbolStd-Book"/>
              </w:rPr>
              <w:t>members</w:t>
            </w:r>
          </w:p>
          <w:p w:rsidR="00904E25" w:rsidRPr="00782D43" w:rsidRDefault="00904E25" w:rsidP="008505D6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ITCSymbolStd-Book"/>
              </w:rPr>
              <w:t>I</w:t>
            </w:r>
            <w:r w:rsidRPr="002861FF">
              <w:rPr>
                <w:rFonts w:cs="ITCSymbolStd-Book"/>
              </w:rPr>
              <w:t>dentify team professional development needs</w:t>
            </w:r>
          </w:p>
          <w:p w:rsidR="00782D43" w:rsidRPr="002861FF" w:rsidRDefault="00782D43" w:rsidP="00782D43">
            <w:pPr>
              <w:pStyle w:val="ListParagraph"/>
            </w:pPr>
          </w:p>
          <w:p w:rsidR="00904E25" w:rsidRPr="00782D43" w:rsidRDefault="00782D43" w:rsidP="00782D43">
            <w:pPr>
              <w:pStyle w:val="ListParagraph"/>
              <w:ind w:left="0"/>
              <w:rPr>
                <w:i/>
              </w:rPr>
            </w:pPr>
            <w:r w:rsidRPr="00782D43">
              <w:rPr>
                <w:i/>
              </w:rPr>
              <w:t>(LBD, pp. 191-192)</w:t>
            </w:r>
          </w:p>
        </w:tc>
      </w:tr>
      <w:tr w:rsidR="00904E25" w:rsidTr="009854F8">
        <w:tblPrEx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gridAfter w:val="1"/>
          <w:wAfter w:w="11" w:type="dxa"/>
        </w:trPr>
        <w:tc>
          <w:tcPr>
            <w:tcW w:w="925" w:type="dxa"/>
            <w:gridSpan w:val="2"/>
            <w:vMerge/>
            <w:shd w:val="clear" w:color="auto" w:fill="D9D9D9" w:themeFill="background1" w:themeFillShade="D9"/>
          </w:tcPr>
          <w:p w:rsidR="00904E25" w:rsidRDefault="00904E25" w:rsidP="008505D6"/>
        </w:tc>
        <w:tc>
          <w:tcPr>
            <w:tcW w:w="10080" w:type="dxa"/>
          </w:tcPr>
          <w:p w:rsidR="00904E25" w:rsidRPr="006325D7" w:rsidRDefault="00904E25" w:rsidP="008505D6">
            <w:pPr>
              <w:autoSpaceDE w:val="0"/>
              <w:autoSpaceDN w:val="0"/>
              <w:adjustRightInd w:val="0"/>
              <w:rPr>
                <w:rFonts w:cs="ITCSymbolStd-Book"/>
                <w:szCs w:val="18"/>
              </w:rPr>
            </w:pPr>
            <w:r w:rsidRPr="003A00E7">
              <w:rPr>
                <w:rFonts w:cs="ITCSymbolStd-Book"/>
                <w:szCs w:val="18"/>
              </w:rPr>
              <w:t xml:space="preserve">We </w:t>
            </w:r>
            <w:r>
              <w:rPr>
                <w:rFonts w:cs="ITCSymbolStd-Book"/>
                <w:szCs w:val="18"/>
              </w:rPr>
              <w:t xml:space="preserve">will </w:t>
            </w:r>
            <w:r w:rsidRPr="003A00E7">
              <w:rPr>
                <w:rFonts w:cs="ITCSymbolStd-Book"/>
                <w:szCs w:val="18"/>
              </w:rPr>
              <w:t>work with colleagues on our team to clarify the criteria by which we will judge the quality of student work, and we</w:t>
            </w:r>
            <w:r>
              <w:rPr>
                <w:rFonts w:cs="ITCSymbolStd-Book"/>
                <w:szCs w:val="18"/>
              </w:rPr>
              <w:t xml:space="preserve"> will</w:t>
            </w:r>
            <w:r w:rsidRPr="003A00E7">
              <w:rPr>
                <w:rFonts w:cs="ITCSymbolStd-Book"/>
                <w:szCs w:val="18"/>
              </w:rPr>
              <w:t xml:space="preserve"> practice applying those criteria until we can do so consistently.</w:t>
            </w:r>
            <w:r w:rsidR="00782D43">
              <w:rPr>
                <w:rFonts w:cs="ITCSymbolStd-Book"/>
                <w:szCs w:val="18"/>
              </w:rPr>
              <w:t xml:space="preserve"> </w:t>
            </w:r>
            <w:r w:rsidR="00782D43" w:rsidRPr="00782D43">
              <w:rPr>
                <w:rFonts w:cs="ITCSymbolStd-Book"/>
                <w:i/>
                <w:szCs w:val="18"/>
              </w:rPr>
              <w:t>(LBD, pp. 200-201)</w:t>
            </w:r>
          </w:p>
        </w:tc>
      </w:tr>
      <w:tr w:rsidR="00904E25" w:rsidTr="009854F8">
        <w:tblPrEx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gridAfter w:val="1"/>
          <w:wAfter w:w="11" w:type="dxa"/>
        </w:trPr>
        <w:tc>
          <w:tcPr>
            <w:tcW w:w="925" w:type="dxa"/>
            <w:gridSpan w:val="2"/>
            <w:vMerge/>
            <w:shd w:val="clear" w:color="auto" w:fill="D9D9D9" w:themeFill="background1" w:themeFillShade="D9"/>
          </w:tcPr>
          <w:p w:rsidR="00904E25" w:rsidRDefault="00904E25" w:rsidP="008505D6"/>
        </w:tc>
        <w:tc>
          <w:tcPr>
            <w:tcW w:w="10080" w:type="dxa"/>
          </w:tcPr>
          <w:p w:rsidR="00904E25" w:rsidRPr="00873360" w:rsidRDefault="00904E25" w:rsidP="008505D6">
            <w:pPr>
              <w:autoSpaceDE w:val="0"/>
              <w:autoSpaceDN w:val="0"/>
              <w:adjustRightInd w:val="0"/>
              <w:rPr>
                <w:rFonts w:cs="ITCSymbolStd-Book"/>
                <w:szCs w:val="18"/>
              </w:rPr>
            </w:pPr>
            <w:r w:rsidRPr="003A00E7">
              <w:rPr>
                <w:rFonts w:cs="ITCSymbolStd-Book"/>
                <w:szCs w:val="18"/>
              </w:rPr>
              <w:t xml:space="preserve">We </w:t>
            </w:r>
            <w:r>
              <w:rPr>
                <w:rFonts w:cs="ITCSymbolStd-Book"/>
                <w:szCs w:val="18"/>
              </w:rPr>
              <w:t xml:space="preserve">will </w:t>
            </w:r>
            <w:r w:rsidRPr="003A00E7">
              <w:rPr>
                <w:rFonts w:cs="ITCSymbolStd-Book"/>
                <w:szCs w:val="18"/>
              </w:rPr>
              <w:t>provide a system of</w:t>
            </w:r>
            <w:r w:rsidR="00FD1563">
              <w:rPr>
                <w:rFonts w:cs="ITCSymbolStd-Book"/>
                <w:szCs w:val="18"/>
              </w:rPr>
              <w:t xml:space="preserve"> research-based</w:t>
            </w:r>
            <w:r w:rsidRPr="003A00E7">
              <w:rPr>
                <w:rFonts w:cs="ITCSymbolStd-Book"/>
                <w:szCs w:val="18"/>
              </w:rPr>
              <w:t xml:space="preserve"> interventions that guarantees each student will receive additional time and support for learning if he or she experiences initial difficulty. Students </w:t>
            </w:r>
            <w:r>
              <w:rPr>
                <w:rFonts w:cs="ITCSymbolStd-Book"/>
                <w:szCs w:val="18"/>
              </w:rPr>
              <w:t xml:space="preserve">on our team </w:t>
            </w:r>
            <w:r w:rsidRPr="003A00E7">
              <w:rPr>
                <w:rFonts w:cs="ITCSymbolStd-Book"/>
                <w:szCs w:val="18"/>
              </w:rPr>
              <w:t xml:space="preserve">who are proficient </w:t>
            </w:r>
            <w:r>
              <w:rPr>
                <w:rFonts w:cs="ITCSymbolStd-Book"/>
                <w:szCs w:val="18"/>
              </w:rPr>
              <w:t xml:space="preserve">will </w:t>
            </w:r>
            <w:r w:rsidRPr="003A00E7">
              <w:rPr>
                <w:rFonts w:cs="ITCSymbolStd-Book"/>
                <w:szCs w:val="18"/>
              </w:rPr>
              <w:t>have access to enriched and extended learning opportunities.</w:t>
            </w:r>
            <w:r w:rsidR="00782D43">
              <w:rPr>
                <w:rFonts w:cs="ITCSymbolStd-Book"/>
                <w:szCs w:val="18"/>
              </w:rPr>
              <w:t xml:space="preserve">  </w:t>
            </w:r>
            <w:r w:rsidR="00782D43" w:rsidRPr="00782D43">
              <w:rPr>
                <w:rFonts w:cs="ITCSymbolStd-Book"/>
                <w:i/>
                <w:szCs w:val="18"/>
              </w:rPr>
              <w:t>(LBD, p. 96)</w:t>
            </w:r>
          </w:p>
        </w:tc>
      </w:tr>
      <w:tr w:rsidR="00904E25" w:rsidTr="008505D6">
        <w:tblPrEx>
          <w:tblCellMar>
            <w:left w:w="115" w:type="dxa"/>
            <w:right w:w="115" w:type="dxa"/>
          </w:tblCellMar>
        </w:tblPrEx>
        <w:trPr>
          <w:gridAfter w:val="1"/>
          <w:wAfter w:w="11" w:type="dxa"/>
        </w:trPr>
        <w:tc>
          <w:tcPr>
            <w:tcW w:w="11005" w:type="dxa"/>
            <w:gridSpan w:val="3"/>
            <w:shd w:val="clear" w:color="auto" w:fill="000000" w:themeFill="text1"/>
          </w:tcPr>
          <w:p w:rsidR="00904E25" w:rsidRDefault="00904E25" w:rsidP="008505D6"/>
        </w:tc>
      </w:tr>
      <w:tr w:rsidR="00904E25" w:rsidTr="009854F8">
        <w:tblPrEx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cantSplit/>
          <w:trHeight w:val="3122"/>
        </w:trPr>
        <w:tc>
          <w:tcPr>
            <w:tcW w:w="925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904E25" w:rsidRPr="00A116AC" w:rsidRDefault="00904E25" w:rsidP="00A116AC">
            <w:pPr>
              <w:ind w:left="113" w:right="113"/>
              <w:jc w:val="center"/>
              <w:rPr>
                <w:b/>
              </w:rPr>
            </w:pPr>
            <w:r w:rsidRPr="00A116AC">
              <w:rPr>
                <w:b/>
              </w:rPr>
              <w:t xml:space="preserve">(C). Developing a Culture Committed to </w:t>
            </w:r>
            <w:r w:rsidR="00A116AC" w:rsidRPr="00A116AC">
              <w:rPr>
                <w:b/>
              </w:rPr>
              <w:t xml:space="preserve">Curricular </w:t>
            </w:r>
            <w:r w:rsidRPr="00A116AC">
              <w:rPr>
                <w:b/>
              </w:rPr>
              <w:t>Clarity</w:t>
            </w:r>
          </w:p>
        </w:tc>
        <w:tc>
          <w:tcPr>
            <w:tcW w:w="10091" w:type="dxa"/>
            <w:gridSpan w:val="2"/>
          </w:tcPr>
          <w:p w:rsidR="009854F8" w:rsidRDefault="00904E25" w:rsidP="008505D6">
            <w:pPr>
              <w:rPr>
                <w:rFonts w:cs="ITCSymbolStd-Book"/>
                <w:szCs w:val="24"/>
              </w:rPr>
            </w:pPr>
            <w:r w:rsidRPr="003A00E7">
              <w:rPr>
                <w:rFonts w:cs="ITCSymbolStd-Book"/>
                <w:szCs w:val="24"/>
              </w:rPr>
              <w:t xml:space="preserve">We will work with colleagues to build shared knowledge </w:t>
            </w:r>
            <w:r>
              <w:rPr>
                <w:rFonts w:cs="ITCSymbolStd-Book"/>
                <w:szCs w:val="24"/>
              </w:rPr>
              <w:t>of</w:t>
            </w:r>
            <w:r w:rsidR="00A116AC">
              <w:rPr>
                <w:rFonts w:cs="ITCSymbolStd-Book"/>
                <w:szCs w:val="24"/>
              </w:rPr>
              <w:t xml:space="preserve"> the common core curriculum; </w:t>
            </w:r>
            <w:r w:rsidRPr="003A00E7">
              <w:rPr>
                <w:rFonts w:cs="ITCSymbolStd-Book"/>
                <w:szCs w:val="24"/>
              </w:rPr>
              <w:t xml:space="preserve">our state essential standards; district curriculum guides, initiatives and expectations; trends in student achievement; and expectations for the next course or grade level. </w:t>
            </w:r>
          </w:p>
          <w:p w:rsidR="009854F8" w:rsidRDefault="009854F8" w:rsidP="008505D6">
            <w:pPr>
              <w:rPr>
                <w:rFonts w:cs="ITCSymbolStd-Book"/>
                <w:szCs w:val="24"/>
              </w:rPr>
            </w:pPr>
          </w:p>
          <w:p w:rsidR="00904E25" w:rsidRDefault="00904E25" w:rsidP="008505D6">
            <w:pPr>
              <w:rPr>
                <w:rFonts w:cs="ITCSymbolStd-Book"/>
                <w:szCs w:val="24"/>
              </w:rPr>
            </w:pPr>
            <w:r w:rsidRPr="003A00E7">
              <w:rPr>
                <w:rFonts w:cs="ITCSymbolStd-Book"/>
                <w:szCs w:val="24"/>
              </w:rPr>
              <w:t>This collective inquiry will enable each member of our team to clarify what all students must know and be able to do as a result of every unit of instruction.</w:t>
            </w:r>
          </w:p>
          <w:p w:rsidR="00782D43" w:rsidRDefault="00782D43" w:rsidP="008505D6">
            <w:pPr>
              <w:rPr>
                <w:rFonts w:cs="ITCSymbolStd-Book"/>
                <w:szCs w:val="24"/>
              </w:rPr>
            </w:pPr>
          </w:p>
          <w:p w:rsidR="00782D43" w:rsidRPr="00782D43" w:rsidRDefault="00782D43" w:rsidP="008505D6">
            <w:pPr>
              <w:rPr>
                <w:i/>
              </w:rPr>
            </w:pPr>
            <w:r w:rsidRPr="00782D43">
              <w:rPr>
                <w:rFonts w:cs="ITCSymbolStd-Book"/>
                <w:i/>
                <w:szCs w:val="24"/>
              </w:rPr>
              <w:t>(LBD, pp. 63-64)</w:t>
            </w:r>
          </w:p>
        </w:tc>
      </w:tr>
    </w:tbl>
    <w:p w:rsidR="00904E25" w:rsidRDefault="00904E25" w:rsidP="00904E25"/>
    <w:p w:rsidR="00904E25" w:rsidRPr="00E62842" w:rsidRDefault="00904E25" w:rsidP="00904E25">
      <w:pPr>
        <w:spacing w:after="0"/>
        <w:rPr>
          <w:b/>
          <w:i/>
          <w:sz w:val="28"/>
        </w:rPr>
      </w:pPr>
      <w:r w:rsidRPr="00E62842">
        <w:rPr>
          <w:b/>
          <w:i/>
          <w:sz w:val="28"/>
        </w:rPr>
        <w:lastRenderedPageBreak/>
        <w:t>Salem Middle School</w:t>
      </w:r>
    </w:p>
    <w:p w:rsidR="00904E25" w:rsidRPr="00E62842" w:rsidRDefault="00904E25" w:rsidP="00904E25">
      <w:pPr>
        <w:spacing w:after="0"/>
        <w:rPr>
          <w:i/>
          <w:sz w:val="24"/>
        </w:rPr>
      </w:pPr>
      <w:r w:rsidRPr="00E62842">
        <w:rPr>
          <w:i/>
          <w:sz w:val="24"/>
        </w:rPr>
        <w:t>Action Steps</w:t>
      </w:r>
    </w:p>
    <w:p w:rsidR="00904E25" w:rsidRPr="00145FD0" w:rsidRDefault="00904E25" w:rsidP="00904E25">
      <w:pPr>
        <w:spacing w:after="0"/>
        <w:rPr>
          <w:sz w:val="10"/>
        </w:rPr>
      </w:pPr>
    </w:p>
    <w:p w:rsidR="00904E25" w:rsidRPr="00414D65" w:rsidRDefault="00904E25" w:rsidP="00904E25">
      <w:pPr>
        <w:spacing w:after="0"/>
      </w:pPr>
      <w:r w:rsidRPr="00414D65">
        <w:t xml:space="preserve">If we are to be successful at becoming the kind of professional learning community defined by our collective commitments, we must systematically begin working on a set of </w:t>
      </w:r>
      <w:r>
        <w:t xml:space="preserve">predetermined </w:t>
      </w:r>
      <w:r w:rsidRPr="00414D65">
        <w:t xml:space="preserve">action steps.  Those action steps are defined below.  They should serve as a checklist for learning teams, outlining the specific tasks that they should be </w:t>
      </w:r>
      <w:r w:rsidRPr="00B84571">
        <w:rPr>
          <w:b/>
          <w:i/>
          <w:u w:val="single"/>
        </w:rPr>
        <w:t xml:space="preserve">working on over the course of the next </w:t>
      </w:r>
      <w:r>
        <w:rPr>
          <w:b/>
          <w:i/>
          <w:u w:val="single"/>
        </w:rPr>
        <w:t xml:space="preserve">3-5 </w:t>
      </w:r>
      <w:r w:rsidRPr="00B84571">
        <w:rPr>
          <w:b/>
          <w:i/>
          <w:u w:val="single"/>
        </w:rPr>
        <w:t>years</w:t>
      </w:r>
      <w:r w:rsidRPr="00414D65">
        <w:t xml:space="preserve">.  </w:t>
      </w:r>
    </w:p>
    <w:p w:rsidR="00904E25" w:rsidRPr="00E62842" w:rsidRDefault="00904E25" w:rsidP="00904E25">
      <w:pPr>
        <w:spacing w:after="0"/>
        <w:rPr>
          <w:sz w:val="16"/>
        </w:rPr>
      </w:pPr>
    </w:p>
    <w:tbl>
      <w:tblPr>
        <w:tblStyle w:val="TableGrid"/>
        <w:tblW w:w="0" w:type="auto"/>
        <w:tblInd w:w="-72" w:type="dxa"/>
        <w:shd w:val="clear" w:color="auto" w:fill="000000" w:themeFill="text1"/>
        <w:tblLayout w:type="fixed"/>
        <w:tblLook w:val="04A0"/>
      </w:tblPr>
      <w:tblGrid>
        <w:gridCol w:w="1440"/>
        <w:gridCol w:w="9641"/>
        <w:gridCol w:w="7"/>
      </w:tblGrid>
      <w:tr w:rsidR="00904E25" w:rsidTr="00145FD0">
        <w:tc>
          <w:tcPr>
            <w:tcW w:w="11088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904E25" w:rsidRPr="00E62842" w:rsidRDefault="00904E25" w:rsidP="008505D6">
            <w:pPr>
              <w:rPr>
                <w:b/>
                <w:i/>
              </w:rPr>
            </w:pPr>
            <w:r w:rsidRPr="00E62842">
              <w:rPr>
                <w:b/>
                <w:i/>
              </w:rPr>
              <w:t>Salem Middle School Action Steps</w:t>
            </w:r>
          </w:p>
        </w:tc>
      </w:tr>
      <w:tr w:rsidR="00904E25" w:rsidRPr="00E62842" w:rsidTr="00145FD0">
        <w:tblPrEx>
          <w:shd w:val="clear" w:color="auto" w:fill="auto"/>
        </w:tblPrEx>
        <w:tc>
          <w:tcPr>
            <w:tcW w:w="1440" w:type="dxa"/>
            <w:shd w:val="clear" w:color="auto" w:fill="D9D9D9" w:themeFill="background1" w:themeFillShade="D9"/>
          </w:tcPr>
          <w:p w:rsidR="00904E25" w:rsidRDefault="00554B7F" w:rsidP="008505D6">
            <w:pPr>
              <w:rPr>
                <w:b/>
                <w:i/>
              </w:rPr>
            </w:pPr>
            <w:r>
              <w:rPr>
                <w:b/>
                <w:i/>
              </w:rPr>
              <w:t>LBD Pages</w:t>
            </w:r>
          </w:p>
          <w:p w:rsidR="00554B7F" w:rsidRPr="00554B7F" w:rsidRDefault="00554B7F" w:rsidP="008505D6">
            <w:pPr>
              <w:rPr>
                <w:i/>
              </w:rPr>
            </w:pPr>
            <w:r w:rsidRPr="00554B7F">
              <w:rPr>
                <w:i/>
                <w:sz w:val="16"/>
              </w:rPr>
              <w:t>(where available)</w:t>
            </w:r>
          </w:p>
        </w:tc>
        <w:tc>
          <w:tcPr>
            <w:tcW w:w="9648" w:type="dxa"/>
            <w:gridSpan w:val="2"/>
            <w:shd w:val="clear" w:color="auto" w:fill="D9D9D9" w:themeFill="background1" w:themeFillShade="D9"/>
          </w:tcPr>
          <w:p w:rsidR="00904E25" w:rsidRPr="00E62842" w:rsidRDefault="00904E25" w:rsidP="008505D6">
            <w:pPr>
              <w:rPr>
                <w:b/>
                <w:i/>
              </w:rPr>
            </w:pPr>
            <w:r w:rsidRPr="00E62842">
              <w:rPr>
                <w:b/>
                <w:i/>
              </w:rPr>
              <w:t>Action Step</w:t>
            </w:r>
          </w:p>
        </w:tc>
      </w:tr>
      <w:tr w:rsidR="00904E25" w:rsidTr="00145FD0">
        <w:tblPrEx>
          <w:shd w:val="clear" w:color="auto" w:fill="auto"/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440" w:type="dxa"/>
          </w:tcPr>
          <w:p w:rsidR="00904E25" w:rsidRDefault="00554B7F" w:rsidP="008505D6">
            <w:r>
              <w:t>p. 132</w:t>
            </w:r>
          </w:p>
        </w:tc>
        <w:tc>
          <w:tcPr>
            <w:tcW w:w="9641" w:type="dxa"/>
          </w:tcPr>
          <w:p w:rsidR="00904E25" w:rsidRDefault="00904E25" w:rsidP="00454001">
            <w:r>
              <w:t xml:space="preserve">(1). </w:t>
            </w:r>
            <w:r w:rsidRPr="00E62842">
              <w:t>Every team will have a clearly defined set of norms that set expectations for peer participation</w:t>
            </w:r>
            <w:r w:rsidR="00454001">
              <w:t>; that establish ro</w:t>
            </w:r>
            <w:bookmarkStart w:id="0" w:name="_GoBack"/>
            <w:bookmarkEnd w:id="0"/>
            <w:r w:rsidR="00454001">
              <w:t xml:space="preserve">les and responsibilities for sharing workload; and </w:t>
            </w:r>
            <w:r w:rsidR="00156926">
              <w:t xml:space="preserve">that </w:t>
            </w:r>
            <w:r w:rsidR="00FD1563">
              <w:t xml:space="preserve">include a clear process for ensuring that all voices are heard.  </w:t>
            </w:r>
          </w:p>
        </w:tc>
      </w:tr>
      <w:tr w:rsidR="00904E25" w:rsidTr="00145FD0">
        <w:tblPrEx>
          <w:shd w:val="clear" w:color="auto" w:fill="auto"/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440" w:type="dxa"/>
          </w:tcPr>
          <w:p w:rsidR="00904E25" w:rsidRDefault="00554B7F" w:rsidP="008505D6">
            <w:r>
              <w:t>p. 37</w:t>
            </w:r>
          </w:p>
        </w:tc>
        <w:tc>
          <w:tcPr>
            <w:tcW w:w="9641" w:type="dxa"/>
          </w:tcPr>
          <w:p w:rsidR="00904E25" w:rsidRPr="00E62842" w:rsidRDefault="00904E25" w:rsidP="00156926">
            <w:r>
              <w:t xml:space="preserve">(2). </w:t>
            </w:r>
            <w:r w:rsidRPr="00E62842">
              <w:t xml:space="preserve">Every team will find </w:t>
            </w:r>
            <w:r w:rsidR="00B44E14">
              <w:t>reasons for</w:t>
            </w:r>
            <w:r w:rsidRPr="00E62842">
              <w:t xml:space="preserve"> celebrating the work of their peers</w:t>
            </w:r>
            <w:r w:rsidR="00B44E14">
              <w:t xml:space="preserve"> – </w:t>
            </w:r>
            <w:r w:rsidR="00156926">
              <w:t>successful</w:t>
            </w:r>
            <w:r w:rsidR="00B44E14">
              <w:t xml:space="preserve"> instructional strategies, use of technology, positive experiences with students, neat student products – regularly.  </w:t>
            </w:r>
          </w:p>
        </w:tc>
      </w:tr>
      <w:tr w:rsidR="00904E25" w:rsidTr="00145FD0">
        <w:tblPrEx>
          <w:shd w:val="clear" w:color="auto" w:fill="auto"/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440" w:type="dxa"/>
          </w:tcPr>
          <w:p w:rsidR="00904E25" w:rsidRDefault="00554B7F" w:rsidP="008505D6">
            <w:r>
              <w:t>p. 205</w:t>
            </w:r>
          </w:p>
        </w:tc>
        <w:tc>
          <w:tcPr>
            <w:tcW w:w="9641" w:type="dxa"/>
          </w:tcPr>
          <w:p w:rsidR="00904E25" w:rsidRPr="00E62842" w:rsidRDefault="00904E25" w:rsidP="008505D6">
            <w:r>
              <w:t xml:space="preserve">(3). </w:t>
            </w:r>
            <w:r w:rsidRPr="00E62842">
              <w:t xml:space="preserve">Every team will have a clearly defined process for resolving conflict.  </w:t>
            </w:r>
          </w:p>
        </w:tc>
      </w:tr>
      <w:tr w:rsidR="00904E25" w:rsidTr="00145FD0">
        <w:tblPrEx>
          <w:shd w:val="clear" w:color="auto" w:fill="auto"/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440" w:type="dxa"/>
          </w:tcPr>
          <w:p w:rsidR="00904E25" w:rsidRDefault="00554B7F" w:rsidP="008505D6">
            <w:r>
              <w:t>pp. 260-261</w:t>
            </w:r>
          </w:p>
        </w:tc>
        <w:tc>
          <w:tcPr>
            <w:tcW w:w="9641" w:type="dxa"/>
          </w:tcPr>
          <w:p w:rsidR="00904E25" w:rsidRPr="00E62842" w:rsidRDefault="00904E25" w:rsidP="00156926">
            <w:r>
              <w:t xml:space="preserve">(4). </w:t>
            </w:r>
            <w:r w:rsidRPr="00E62842">
              <w:t xml:space="preserve">Every team will facilitate one </w:t>
            </w:r>
            <w:r>
              <w:t xml:space="preserve">school-wide </w:t>
            </w:r>
            <w:r w:rsidRPr="00E62842">
              <w:t xml:space="preserve">conversation </w:t>
            </w:r>
            <w:r w:rsidR="004C2BAB">
              <w:t>– faculty presentation, online conversation, staff development</w:t>
            </w:r>
            <w:r w:rsidR="00156926">
              <w:t xml:space="preserve"> session</w:t>
            </w:r>
            <w:r w:rsidR="004C2BAB">
              <w:t xml:space="preserve"> – around</w:t>
            </w:r>
            <w:r w:rsidRPr="00E62842">
              <w:t xml:space="preserve"> PLC principle</w:t>
            </w:r>
            <w:r w:rsidR="004C2BAB">
              <w:t xml:space="preserve">s outlined in </w:t>
            </w:r>
            <w:r w:rsidRPr="00414D65">
              <w:rPr>
                <w:i/>
              </w:rPr>
              <w:t>Learning by Doing.</w:t>
            </w:r>
          </w:p>
        </w:tc>
      </w:tr>
      <w:tr w:rsidR="00904E25" w:rsidTr="00145FD0">
        <w:tblPrEx>
          <w:shd w:val="clear" w:color="auto" w:fill="auto"/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440" w:type="dxa"/>
          </w:tcPr>
          <w:p w:rsidR="00904E25" w:rsidRDefault="00904E25" w:rsidP="008505D6"/>
        </w:tc>
        <w:tc>
          <w:tcPr>
            <w:tcW w:w="9641" w:type="dxa"/>
          </w:tcPr>
          <w:p w:rsidR="00904E25" w:rsidRPr="00E62842" w:rsidRDefault="00904E25" w:rsidP="008505D6">
            <w:r>
              <w:t xml:space="preserve">(5). </w:t>
            </w:r>
            <w:r w:rsidRPr="00E62842">
              <w:t xml:space="preserve">Every team will develop a system for </w:t>
            </w:r>
            <w:r>
              <w:t>communicating</w:t>
            </w:r>
            <w:r w:rsidRPr="00E62842">
              <w:t xml:space="preserve"> </w:t>
            </w:r>
            <w:r>
              <w:t xml:space="preserve">– and </w:t>
            </w:r>
            <w:r w:rsidRPr="00E62842">
              <w:t>addressing</w:t>
            </w:r>
            <w:r>
              <w:t xml:space="preserve"> weaknesses in – academic achievement </w:t>
            </w:r>
            <w:r w:rsidRPr="00E62842">
              <w:t>and work behaviors separately.</w:t>
            </w:r>
          </w:p>
        </w:tc>
      </w:tr>
      <w:tr w:rsidR="00904E25" w:rsidTr="00145FD0">
        <w:tblPrEx>
          <w:shd w:val="clear" w:color="auto" w:fill="auto"/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440" w:type="dxa"/>
          </w:tcPr>
          <w:p w:rsidR="00904E25" w:rsidRDefault="00904E25" w:rsidP="008505D6"/>
        </w:tc>
        <w:tc>
          <w:tcPr>
            <w:tcW w:w="9641" w:type="dxa"/>
          </w:tcPr>
          <w:p w:rsidR="00904E25" w:rsidRPr="00E62842" w:rsidRDefault="00904E25" w:rsidP="00156926">
            <w:r>
              <w:t xml:space="preserve">(6). </w:t>
            </w:r>
            <w:r w:rsidRPr="00E62842">
              <w:t xml:space="preserve">Every team will develop a set of </w:t>
            </w:r>
            <w:r w:rsidR="00BC4DF8">
              <w:t>samples</w:t>
            </w:r>
            <w:r w:rsidRPr="00E62842">
              <w:t xml:space="preserve"> for subjective tasks that demonstrate low, average and high performance</w:t>
            </w:r>
            <w:r>
              <w:t xml:space="preserve"> that students can use for self assessment</w:t>
            </w:r>
            <w:r w:rsidRPr="00E62842">
              <w:t xml:space="preserve">.  Every team will also find a way to share those </w:t>
            </w:r>
            <w:r w:rsidR="00156926">
              <w:t>samples</w:t>
            </w:r>
            <w:r w:rsidRPr="00E62842">
              <w:t xml:space="preserve"> online with parents, students, and other school faculty members.   </w:t>
            </w:r>
          </w:p>
        </w:tc>
      </w:tr>
      <w:tr w:rsidR="00904E25" w:rsidTr="00145FD0">
        <w:tblPrEx>
          <w:shd w:val="clear" w:color="auto" w:fill="auto"/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440" w:type="dxa"/>
          </w:tcPr>
          <w:p w:rsidR="00904E25" w:rsidRDefault="00554B7F" w:rsidP="008505D6">
            <w:r>
              <w:t>p. 75</w:t>
            </w:r>
          </w:p>
        </w:tc>
        <w:tc>
          <w:tcPr>
            <w:tcW w:w="9641" w:type="dxa"/>
          </w:tcPr>
          <w:p w:rsidR="00904E25" w:rsidRPr="00E62842" w:rsidRDefault="00904E25" w:rsidP="00156926">
            <w:r>
              <w:t xml:space="preserve">(7). </w:t>
            </w:r>
            <w:r w:rsidRPr="00E62842">
              <w:t xml:space="preserve">Every team will develop a </w:t>
            </w:r>
            <w:r w:rsidR="00156926">
              <w:t xml:space="preserve">set of </w:t>
            </w:r>
            <w:r w:rsidR="0083522B">
              <w:t xml:space="preserve">common </w:t>
            </w:r>
            <w:r w:rsidRPr="00E62842">
              <w:t>pre</w:t>
            </w:r>
            <w:r w:rsidR="0083522B">
              <w:t>-assessments</w:t>
            </w:r>
            <w:r w:rsidRPr="00E62842">
              <w:t xml:space="preserve"> and post-</w:t>
            </w:r>
            <w:r w:rsidR="0083522B">
              <w:t>assessments</w:t>
            </w:r>
            <w:r w:rsidRPr="00E62842">
              <w:t xml:space="preserve"> </w:t>
            </w:r>
            <w:r w:rsidR="0083522B">
              <w:t>for the content that they teach</w:t>
            </w:r>
            <w:r w:rsidRPr="00E62842">
              <w:t>.  Every team will also design 3-5 remediation lessons to support struggling students</w:t>
            </w:r>
            <w:r w:rsidR="00156926">
              <w:t xml:space="preserve"> and</w:t>
            </w:r>
            <w:r>
              <w:t xml:space="preserve"> monitor</w:t>
            </w:r>
            <w:r w:rsidRPr="00E62842">
              <w:t xml:space="preserve"> the performance of their students on each of these remediation lessons</w:t>
            </w:r>
            <w:r w:rsidR="0083522B">
              <w:t xml:space="preserve">. </w:t>
            </w:r>
          </w:p>
        </w:tc>
      </w:tr>
      <w:tr w:rsidR="00904E25" w:rsidTr="00145FD0">
        <w:tblPrEx>
          <w:shd w:val="clear" w:color="auto" w:fill="auto"/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440" w:type="dxa"/>
          </w:tcPr>
          <w:p w:rsidR="00904E25" w:rsidRDefault="00554B7F" w:rsidP="008505D6">
            <w:r>
              <w:t>pp. 69-70</w:t>
            </w:r>
          </w:p>
        </w:tc>
        <w:tc>
          <w:tcPr>
            <w:tcW w:w="9641" w:type="dxa"/>
          </w:tcPr>
          <w:p w:rsidR="00904E25" w:rsidRPr="00E62842" w:rsidRDefault="00904E25" w:rsidP="00A26DE6">
            <w:r>
              <w:t xml:space="preserve">(8). Every team will develop a set of 3-5 reading </w:t>
            </w:r>
            <w:r w:rsidR="00A26DE6">
              <w:t xml:space="preserve">strategies </w:t>
            </w:r>
            <w:r>
              <w:t>that they will implement consistently in their classrooms. Every team will also track the performance of their students on each of these strategies and finish with a ranked list of strategies from most to least effective.</w:t>
            </w:r>
          </w:p>
        </w:tc>
      </w:tr>
      <w:tr w:rsidR="00904E25" w:rsidTr="00145FD0">
        <w:tblPrEx>
          <w:shd w:val="clear" w:color="auto" w:fill="auto"/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440" w:type="dxa"/>
          </w:tcPr>
          <w:p w:rsidR="00904E25" w:rsidRDefault="00554B7F" w:rsidP="008505D6">
            <w:r>
              <w:t>pp. 200-201</w:t>
            </w:r>
          </w:p>
        </w:tc>
        <w:tc>
          <w:tcPr>
            <w:tcW w:w="9641" w:type="dxa"/>
          </w:tcPr>
          <w:p w:rsidR="00904E25" w:rsidRPr="00E62842" w:rsidRDefault="00904E25" w:rsidP="00F562C8">
            <w:r>
              <w:t xml:space="preserve">(9). </w:t>
            </w:r>
            <w:r w:rsidRPr="00E62842">
              <w:t>Every team will develop a set of 3 performance</w:t>
            </w:r>
            <w:r>
              <w:t xml:space="preserve"> </w:t>
            </w:r>
            <w:r w:rsidR="00FD1563">
              <w:t>tasks</w:t>
            </w:r>
            <w:r w:rsidR="00F562C8">
              <w:t xml:space="preserve"> that they can implement </w:t>
            </w:r>
            <w:r w:rsidRPr="00E62842">
              <w:t xml:space="preserve">during the course of a school year.  Every team will also track performance of their students on these performance </w:t>
            </w:r>
            <w:r w:rsidR="00FD1563">
              <w:t>tasks</w:t>
            </w:r>
            <w:r w:rsidRPr="00E62842">
              <w:t xml:space="preserve"> and make comparisons to the performance of students on more traditional </w:t>
            </w:r>
            <w:r w:rsidR="00F562C8">
              <w:t>assessments</w:t>
            </w:r>
            <w:r w:rsidRPr="00E62842">
              <w:t>.</w:t>
            </w:r>
          </w:p>
        </w:tc>
      </w:tr>
      <w:tr w:rsidR="00904E25" w:rsidTr="00145FD0">
        <w:tblPrEx>
          <w:shd w:val="clear" w:color="auto" w:fill="auto"/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440" w:type="dxa"/>
          </w:tcPr>
          <w:p w:rsidR="00904E25" w:rsidRDefault="00904E25" w:rsidP="008505D6"/>
        </w:tc>
        <w:tc>
          <w:tcPr>
            <w:tcW w:w="9641" w:type="dxa"/>
          </w:tcPr>
          <w:p w:rsidR="00904E25" w:rsidRPr="00E62842" w:rsidRDefault="00904E25" w:rsidP="00156926">
            <w:r>
              <w:t xml:space="preserve">(10). </w:t>
            </w:r>
            <w:r w:rsidRPr="00E62842">
              <w:t>E</w:t>
            </w:r>
            <w:r w:rsidR="00156926">
              <w:t>very</w:t>
            </w:r>
            <w:r w:rsidRPr="00E62842">
              <w:t xml:space="preserve"> team will develop at least 3 </w:t>
            </w:r>
            <w:r w:rsidR="00454001">
              <w:t>differentiated activities</w:t>
            </w:r>
            <w:r w:rsidRPr="00E62842">
              <w:t xml:space="preserve"> that provide students with opportunities to make choices about the way that they demonstrate mastery.  </w:t>
            </w:r>
          </w:p>
        </w:tc>
      </w:tr>
      <w:tr w:rsidR="00904E25" w:rsidTr="00145FD0">
        <w:tblPrEx>
          <w:shd w:val="clear" w:color="auto" w:fill="auto"/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440" w:type="dxa"/>
          </w:tcPr>
          <w:p w:rsidR="00904E25" w:rsidRDefault="00554B7F" w:rsidP="008505D6">
            <w:r>
              <w:t>pp. 125-126</w:t>
            </w:r>
          </w:p>
        </w:tc>
        <w:tc>
          <w:tcPr>
            <w:tcW w:w="9641" w:type="dxa"/>
          </w:tcPr>
          <w:p w:rsidR="00904E25" w:rsidRPr="00E62842" w:rsidRDefault="00904E25" w:rsidP="008505D6">
            <w:r>
              <w:t xml:space="preserve">(11). </w:t>
            </w:r>
            <w:r w:rsidRPr="00E62842">
              <w:t>Every team will develop a formal process for observing their peers delivering lessons</w:t>
            </w:r>
            <w:r>
              <w:t xml:space="preserve"> that incorporate a reading skill</w:t>
            </w:r>
            <w:r w:rsidRPr="00E62842">
              <w:t xml:space="preserve"> </w:t>
            </w:r>
            <w:r>
              <w:t>– either i</w:t>
            </w:r>
            <w:r w:rsidRPr="00E62842">
              <w:t xml:space="preserve">n person or in videotaped lessons </w:t>
            </w:r>
            <w:r>
              <w:t xml:space="preserve">– at </w:t>
            </w:r>
            <w:r w:rsidRPr="00E62842">
              <w:t xml:space="preserve">least once per school year with the intention of seeing what shared practices look like in action in other classrooms.  </w:t>
            </w:r>
          </w:p>
        </w:tc>
      </w:tr>
      <w:tr w:rsidR="00904E25" w:rsidTr="00145FD0">
        <w:tblPrEx>
          <w:shd w:val="clear" w:color="auto" w:fill="auto"/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440" w:type="dxa"/>
          </w:tcPr>
          <w:p w:rsidR="00904E25" w:rsidRDefault="00554B7F" w:rsidP="008505D6">
            <w:r>
              <w:t>pp. 63, 70</w:t>
            </w:r>
          </w:p>
        </w:tc>
        <w:tc>
          <w:tcPr>
            <w:tcW w:w="9641" w:type="dxa"/>
          </w:tcPr>
          <w:p w:rsidR="00904E25" w:rsidRPr="00E62842" w:rsidRDefault="00904E25" w:rsidP="008505D6">
            <w:r>
              <w:t xml:space="preserve">(12). </w:t>
            </w:r>
            <w:r w:rsidRPr="00E62842">
              <w:t>Every team will deve</w:t>
            </w:r>
            <w:r>
              <w:t>lop unit overview sheets that (a</w:t>
            </w:r>
            <w:r w:rsidRPr="00E62842">
              <w:t xml:space="preserve">). </w:t>
            </w:r>
            <w:proofErr w:type="gramStart"/>
            <w:r w:rsidRPr="00E62842">
              <w:t>list</w:t>
            </w:r>
            <w:proofErr w:type="gramEnd"/>
            <w:r w:rsidRPr="00E62842">
              <w:t xml:space="preserve"> essential </w:t>
            </w:r>
            <w:r>
              <w:t>outcomes</w:t>
            </w:r>
            <w:r w:rsidRPr="00E62842">
              <w:t xml:space="preserve"> and content </w:t>
            </w:r>
            <w:r>
              <w:t>in student friendly language, (b</w:t>
            </w:r>
            <w:r w:rsidRPr="00E62842">
              <w:t xml:space="preserve">). </w:t>
            </w:r>
            <w:proofErr w:type="gramStart"/>
            <w:r w:rsidRPr="00E62842">
              <w:t>include</w:t>
            </w:r>
            <w:proofErr w:type="gramEnd"/>
            <w:r w:rsidRPr="00E62842">
              <w:t xml:space="preserve"> important </w:t>
            </w:r>
            <w:r>
              <w:t>vocabulary to be mastered and (c</w:t>
            </w:r>
            <w:r w:rsidRPr="00E62842">
              <w:t xml:space="preserve">). </w:t>
            </w:r>
            <w:proofErr w:type="gramStart"/>
            <w:r w:rsidRPr="00E62842">
              <w:t>suggest</w:t>
            </w:r>
            <w:proofErr w:type="gramEnd"/>
            <w:r w:rsidRPr="00E62842">
              <w:t xml:space="preserve"> ways that students and parents can evaluate current levels of mastery.</w:t>
            </w:r>
            <w:r>
              <w:t xml:space="preserve">  </w:t>
            </w:r>
            <w:r w:rsidRPr="00930D92">
              <w:rPr>
                <w:i/>
              </w:rPr>
              <w:t>(Learning by Doing, p. 53)</w:t>
            </w:r>
          </w:p>
        </w:tc>
      </w:tr>
      <w:tr w:rsidR="00904E25" w:rsidTr="00145FD0">
        <w:tblPrEx>
          <w:shd w:val="clear" w:color="auto" w:fill="auto"/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440" w:type="dxa"/>
          </w:tcPr>
          <w:p w:rsidR="00904E25" w:rsidRDefault="00554B7F" w:rsidP="008505D6">
            <w:r>
              <w:t>p. 37</w:t>
            </w:r>
          </w:p>
        </w:tc>
        <w:tc>
          <w:tcPr>
            <w:tcW w:w="9641" w:type="dxa"/>
          </w:tcPr>
          <w:p w:rsidR="00904E25" w:rsidRPr="00E62842" w:rsidRDefault="00904E25" w:rsidP="007732A1">
            <w:r>
              <w:t xml:space="preserve">(13). </w:t>
            </w:r>
            <w:r w:rsidRPr="00E62842">
              <w:t>Every team will develop a plan for awarding PBIS tickets in the regular course of their instruction.  Every team will also develop a system for collecting information from students on the impact that their PBIS plan is having on their behavior and academic performance.</w:t>
            </w:r>
          </w:p>
        </w:tc>
      </w:tr>
      <w:tr w:rsidR="00904E25" w:rsidTr="00145FD0">
        <w:tblPrEx>
          <w:shd w:val="clear" w:color="auto" w:fill="auto"/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440" w:type="dxa"/>
          </w:tcPr>
          <w:p w:rsidR="00904E25" w:rsidRDefault="00554B7F" w:rsidP="008505D6">
            <w:r>
              <w:t>pp. 63, 70</w:t>
            </w:r>
          </w:p>
        </w:tc>
        <w:tc>
          <w:tcPr>
            <w:tcW w:w="9641" w:type="dxa"/>
          </w:tcPr>
          <w:p w:rsidR="00904E25" w:rsidRPr="00E62842" w:rsidRDefault="00904E25" w:rsidP="00A26DE6">
            <w:r>
              <w:t xml:space="preserve">(14). </w:t>
            </w:r>
            <w:r w:rsidRPr="00E62842">
              <w:t>Every team will work to incorporate reading (print and/or non-print) and writing op</w:t>
            </w:r>
            <w:r w:rsidR="00A26DE6">
              <w:t>portunities into their instruction</w:t>
            </w:r>
            <w:r w:rsidRPr="00E62842">
              <w:t>.</w:t>
            </w:r>
          </w:p>
        </w:tc>
      </w:tr>
      <w:tr w:rsidR="00145FD0" w:rsidTr="00145FD0">
        <w:tblPrEx>
          <w:shd w:val="clear" w:color="auto" w:fill="auto"/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440" w:type="dxa"/>
          </w:tcPr>
          <w:p w:rsidR="00145FD0" w:rsidRDefault="00554B7F" w:rsidP="008505D6">
            <w:r>
              <w:t>p. 123</w:t>
            </w:r>
          </w:p>
        </w:tc>
        <w:tc>
          <w:tcPr>
            <w:tcW w:w="9641" w:type="dxa"/>
          </w:tcPr>
          <w:p w:rsidR="00145FD0" w:rsidRDefault="00145FD0" w:rsidP="008755FC">
            <w:r>
              <w:t xml:space="preserve">(15). Every team will </w:t>
            </w:r>
            <w:r w:rsidR="008755FC">
              <w:t>collaborate</w:t>
            </w:r>
            <w:r>
              <w:t xml:space="preserve"> with a member of our PE and/or Elective staff to develop at least 3 activities that integrate elective content and</w:t>
            </w:r>
            <w:r w:rsidR="00D56DE1">
              <w:t>/or</w:t>
            </w:r>
            <w:r>
              <w:t xml:space="preserve"> skills into traditional core classroom lessons.</w:t>
            </w:r>
          </w:p>
        </w:tc>
      </w:tr>
    </w:tbl>
    <w:p w:rsidR="00C7097A" w:rsidRDefault="00C7097A" w:rsidP="00145FD0"/>
    <w:sectPr w:rsidR="00C7097A" w:rsidSect="00904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TCSymbolSt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3F4A"/>
    <w:multiLevelType w:val="hybridMultilevel"/>
    <w:tmpl w:val="8D08D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04E25"/>
    <w:rsid w:val="00145FD0"/>
    <w:rsid w:val="00156926"/>
    <w:rsid w:val="001738EB"/>
    <w:rsid w:val="001E042E"/>
    <w:rsid w:val="002C5B3D"/>
    <w:rsid w:val="00454001"/>
    <w:rsid w:val="004C2BAB"/>
    <w:rsid w:val="00541FF8"/>
    <w:rsid w:val="00554B7F"/>
    <w:rsid w:val="00640BAD"/>
    <w:rsid w:val="00684918"/>
    <w:rsid w:val="007732A1"/>
    <w:rsid w:val="00782D43"/>
    <w:rsid w:val="0079198B"/>
    <w:rsid w:val="0083522B"/>
    <w:rsid w:val="008755FC"/>
    <w:rsid w:val="00904E25"/>
    <w:rsid w:val="009854F8"/>
    <w:rsid w:val="00A116AC"/>
    <w:rsid w:val="00A26DE6"/>
    <w:rsid w:val="00A70E2F"/>
    <w:rsid w:val="00B44E14"/>
    <w:rsid w:val="00BC4DF8"/>
    <w:rsid w:val="00C7097A"/>
    <w:rsid w:val="00CD1899"/>
    <w:rsid w:val="00D56DE1"/>
    <w:rsid w:val="00E92626"/>
    <w:rsid w:val="00F562C8"/>
    <w:rsid w:val="00FD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4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4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WCPSS</cp:lastModifiedBy>
  <cp:revision>4</cp:revision>
  <cp:lastPrinted>2012-07-03T18:27:00Z</cp:lastPrinted>
  <dcterms:created xsi:type="dcterms:W3CDTF">2012-07-02T23:07:00Z</dcterms:created>
  <dcterms:modified xsi:type="dcterms:W3CDTF">2012-07-03T18:42:00Z</dcterms:modified>
</cp:coreProperties>
</file>