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65" w:rsidRDefault="00657E6C" w:rsidP="00BD4465">
      <w:pPr>
        <w:jc w:val="center"/>
      </w:pPr>
      <w:r w:rsidRPr="00657E6C">
        <w:t>Unit 1- Energy and the Universe</w:t>
      </w:r>
    </w:p>
    <w:p w:rsidR="00657E6C" w:rsidRPr="00BD4465" w:rsidRDefault="00657E6C" w:rsidP="00BD4465">
      <w:r w:rsidRPr="00657E6C">
        <w:rPr>
          <w:color w:val="111111"/>
        </w:rPr>
        <w:t>Days 82-85</w:t>
      </w:r>
    </w:p>
    <w:p w:rsidR="00657E6C" w:rsidRPr="00657E6C" w:rsidRDefault="00657E6C" w:rsidP="00657E6C">
      <w:pPr>
        <w:pStyle w:val="NormalWeb"/>
        <w:rPr>
          <w:color w:val="111111"/>
        </w:rPr>
      </w:pPr>
      <w:r w:rsidRPr="00657E6C">
        <w:rPr>
          <w:color w:val="111111"/>
        </w:rPr>
        <w:t>-Develop a sense of the Earth’s place in the solar system, the Milky Way galaxy, and the universe.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870"/>
        <w:gridCol w:w="3803"/>
      </w:tblGrid>
      <w:tr w:rsidR="00657E6C" w:rsidRPr="00657E6C" w:rsidTr="00657E6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Definition </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Astronomical unit (AU)</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the distance from the Earth to the sun</w:t>
            </w:r>
          </w:p>
        </w:tc>
      </w:tr>
    </w:tbl>
    <w:p w:rsidR="00657E6C" w:rsidRPr="00657E6C" w:rsidRDefault="00657E6C" w:rsidP="00657E6C"/>
    <w:p w:rsidR="00657E6C" w:rsidRPr="00657E6C" w:rsidRDefault="00657E6C" w:rsidP="00657E6C">
      <w:r w:rsidRPr="00657E6C">
        <w:t>Days 86-88</w:t>
      </w:r>
    </w:p>
    <w:p w:rsidR="00657E6C" w:rsidRPr="00657E6C" w:rsidRDefault="00657E6C" w:rsidP="00657E6C">
      <w:pPr>
        <w:pStyle w:val="NormalWeb"/>
        <w:rPr>
          <w:color w:val="111111"/>
        </w:rPr>
      </w:pPr>
      <w:r w:rsidRPr="00657E6C">
        <w:t>-</w:t>
      </w:r>
      <w:r w:rsidRPr="00657E6C">
        <w:rPr>
          <w:color w:val="111111"/>
        </w:rPr>
        <w:t xml:space="preserve"> Understand the nature of science and how that body of knowledge we call science changes over time. As new technology improves our ability to make observations, it can change the way we view the world and change the way we try to order and make sense of it.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870"/>
        <w:gridCol w:w="4876"/>
      </w:tblGrid>
      <w:tr w:rsidR="00657E6C" w:rsidRPr="00657E6C" w:rsidTr="00657E6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Definition </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components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a part of something, usually of something bigger</w:t>
            </w:r>
          </w:p>
        </w:tc>
      </w:tr>
    </w:tbl>
    <w:p w:rsidR="00657E6C" w:rsidRPr="00657E6C" w:rsidRDefault="00657E6C" w:rsidP="00657E6C">
      <w:pPr>
        <w:pStyle w:val="NormalWeb"/>
        <w:rPr>
          <w:color w:val="111111"/>
        </w:rPr>
      </w:pPr>
      <w:r w:rsidRPr="00657E6C">
        <w:rPr>
          <w:color w:val="111111"/>
        </w:rPr>
        <w:t>Days 89-93</w:t>
      </w:r>
    </w:p>
    <w:p w:rsidR="00657E6C" w:rsidRPr="00657E6C" w:rsidRDefault="00657E6C" w:rsidP="00657E6C">
      <w:pPr>
        <w:pStyle w:val="NormalWeb"/>
        <w:rPr>
          <w:color w:val="111111"/>
        </w:rPr>
      </w:pPr>
      <w:r w:rsidRPr="00657E6C">
        <w:rPr>
          <w:color w:val="111111"/>
        </w:rPr>
        <w:t>-Analyze the components and cycles of the solar system</w:t>
      </w:r>
      <w:r w:rsidRPr="00657E6C">
        <w:rPr>
          <w:color w:val="111111"/>
        </w:rPr>
        <w:br/>
        <w:t xml:space="preserve">-Compare and contrast the Earth to other planets </w:t>
      </w:r>
      <w:r w:rsidRPr="00657E6C">
        <w:rPr>
          <w:color w:val="111111"/>
        </w:rPr>
        <w:br/>
        <w:t>- Describe the setting of the solar system in the universe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553"/>
        <w:gridCol w:w="8913"/>
      </w:tblGrid>
      <w:tr w:rsidR="00657E6C" w:rsidRPr="00657E6C" w:rsidTr="00657E6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Definition </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Astronomical Unit (AU)</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a unit of astronomical distances, especially within the solar system, equal to the mean distance between the Earth and the Sun, about 150 million km/93 million mi</w:t>
            </w:r>
          </w:p>
        </w:tc>
      </w:tr>
    </w:tbl>
    <w:p w:rsidR="00657E6C" w:rsidRPr="00657E6C" w:rsidRDefault="00657E6C" w:rsidP="00657E6C">
      <w:pPr>
        <w:pStyle w:val="NormalWeb"/>
        <w:rPr>
          <w:color w:val="111111"/>
        </w:rPr>
      </w:pPr>
      <w:r w:rsidRPr="00657E6C">
        <w:rPr>
          <w:color w:val="111111"/>
        </w:rPr>
        <w:t>Days 94 Remediation</w:t>
      </w:r>
    </w:p>
    <w:p w:rsidR="00657E6C" w:rsidRPr="00657E6C" w:rsidRDefault="00657E6C" w:rsidP="00657E6C">
      <w:pPr>
        <w:pStyle w:val="NormalWeb"/>
        <w:rPr>
          <w:color w:val="111111"/>
        </w:rPr>
      </w:pPr>
      <w:r w:rsidRPr="00657E6C">
        <w:rPr>
          <w:color w:val="111111"/>
        </w:rPr>
        <w:t>Days 95-99</w:t>
      </w:r>
    </w:p>
    <w:p w:rsidR="00657E6C" w:rsidRPr="00657E6C" w:rsidRDefault="00657E6C" w:rsidP="00657E6C">
      <w:pPr>
        <w:pStyle w:val="NormalWeb"/>
        <w:rPr>
          <w:color w:val="111111"/>
        </w:rPr>
      </w:pPr>
      <w:r w:rsidRPr="00657E6C">
        <w:rPr>
          <w:color w:val="111111"/>
        </w:rPr>
        <w:t xml:space="preserve">-Analyze the components and cycles of the solar system   </w:t>
      </w:r>
      <w:r w:rsidR="00BD4465">
        <w:rPr>
          <w:color w:val="111111"/>
        </w:rPr>
        <w:t xml:space="preserve">                   </w:t>
      </w:r>
      <w:r w:rsidRPr="00657E6C">
        <w:rPr>
          <w:color w:val="111111"/>
        </w:rPr>
        <w:t xml:space="preserve">                                                                             -Describe space explorations and the understandings gained from them                                                         </w:t>
      </w:r>
      <w:r w:rsidR="00BD4465">
        <w:rPr>
          <w:color w:val="111111"/>
        </w:rPr>
        <w:t xml:space="preserve">                  </w:t>
      </w:r>
      <w:r w:rsidRPr="00657E6C">
        <w:rPr>
          <w:color w:val="111111"/>
        </w:rPr>
        <w:t xml:space="preserve">-Describe the setting of the solar system in the universe                                                                                  </w:t>
      </w:r>
      <w:r w:rsidR="00BD4465">
        <w:rPr>
          <w:color w:val="111111"/>
        </w:rPr>
        <w:t xml:space="preserve">                  -</w:t>
      </w:r>
      <w:r w:rsidRPr="00657E6C">
        <w:rPr>
          <w:color w:val="111111"/>
        </w:rPr>
        <w:t>Analyze the spin-off benefits generated by space exploration</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753"/>
        <w:gridCol w:w="8713"/>
      </w:tblGrid>
      <w:tr w:rsidR="00657E6C" w:rsidRPr="00657E6C" w:rsidTr="00657E6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BD4465" w:rsidP="00657E6C">
            <w:pPr>
              <w:jc w:val="center"/>
              <w:rPr>
                <w:rFonts w:eastAsia="Times New Roman"/>
                <w:b/>
                <w:bCs/>
                <w:color w:val="111111"/>
              </w:rPr>
            </w:pPr>
            <w:r>
              <w:rPr>
                <w:rFonts w:eastAsia="Times New Roman"/>
                <w:b/>
                <w:bCs/>
                <w:color w:val="111111"/>
              </w:rPr>
              <w:t>C</w:t>
            </w:r>
            <w:r w:rsidR="00657E6C" w:rsidRPr="00657E6C">
              <w:rPr>
                <w:rFonts w:eastAsia="Times New Roman"/>
                <w:b/>
                <w:bCs/>
                <w:color w:val="111111"/>
              </w:rPr>
              <w:t xml:space="preserve">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Definition </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Spin-off</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to derive a new product, material, or service from something that already exists, or be derived in this way</w:t>
            </w:r>
          </w:p>
        </w:tc>
      </w:tr>
    </w:tbl>
    <w:p w:rsidR="00657E6C" w:rsidRPr="00657E6C" w:rsidRDefault="00657E6C" w:rsidP="00657E6C">
      <w:pPr>
        <w:pStyle w:val="NormalWeb"/>
        <w:rPr>
          <w:color w:val="111111"/>
        </w:rPr>
      </w:pPr>
      <w:r w:rsidRPr="00657E6C">
        <w:rPr>
          <w:color w:val="111111"/>
        </w:rPr>
        <w:t>Days 100-104</w:t>
      </w:r>
    </w:p>
    <w:p w:rsidR="00657E6C" w:rsidRPr="00657E6C" w:rsidRDefault="00657E6C" w:rsidP="00657E6C">
      <w:pPr>
        <w:pStyle w:val="NormalWeb"/>
        <w:rPr>
          <w:color w:val="111111"/>
        </w:rPr>
      </w:pPr>
      <w:r w:rsidRPr="00657E6C">
        <w:rPr>
          <w:color w:val="111111"/>
        </w:rPr>
        <w:t>-Describe space explorations and the understandings gained from them</w:t>
      </w:r>
      <w:r w:rsidRPr="00657E6C">
        <w:rPr>
          <w:color w:val="111111"/>
        </w:rPr>
        <w:br/>
        <w:t>-Analyze the spin-off benefits generated by space exploration technology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708"/>
        <w:gridCol w:w="8758"/>
      </w:tblGrid>
      <w:tr w:rsidR="00657E6C" w:rsidRPr="00657E6C" w:rsidTr="00657E6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Definition </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NASA</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proofErr w:type="gramStart"/>
            <w:r w:rsidRPr="00657E6C">
              <w:rPr>
                <w:rFonts w:eastAsia="Times New Roman"/>
                <w:color w:val="111111"/>
              </w:rPr>
              <w:t>the</w:t>
            </w:r>
            <w:proofErr w:type="gramEnd"/>
            <w:r w:rsidRPr="00657E6C">
              <w:rPr>
                <w:rFonts w:eastAsia="Times New Roman"/>
                <w:color w:val="111111"/>
              </w:rPr>
              <w:t xml:space="preserve"> U.S. government agency responsible for nonmilitary programs in the exploration and scientific study of space.</w:t>
            </w:r>
          </w:p>
        </w:tc>
      </w:tr>
    </w:tbl>
    <w:p w:rsidR="00657E6C" w:rsidRPr="00657E6C" w:rsidRDefault="00657E6C" w:rsidP="00657E6C">
      <w:pPr>
        <w:pStyle w:val="NormalWeb"/>
        <w:jc w:val="center"/>
        <w:rPr>
          <w:color w:val="111111"/>
        </w:rPr>
      </w:pPr>
      <w:r w:rsidRPr="00657E6C">
        <w:lastRenderedPageBreak/>
        <w:t>Unit 2- Solar Sensations</w:t>
      </w:r>
    </w:p>
    <w:p w:rsidR="00657E6C" w:rsidRPr="00657E6C" w:rsidRDefault="00657E6C" w:rsidP="00657E6C">
      <w:pPr>
        <w:pStyle w:val="NormalWeb"/>
        <w:rPr>
          <w:color w:val="111111"/>
        </w:rPr>
      </w:pPr>
      <w:r w:rsidRPr="00657E6C">
        <w:rPr>
          <w:color w:val="111111"/>
        </w:rPr>
        <w:t>Days 105-107</w:t>
      </w:r>
    </w:p>
    <w:p w:rsidR="00657E6C" w:rsidRPr="00657E6C" w:rsidRDefault="00657E6C" w:rsidP="00657E6C">
      <w:pPr>
        <w:pStyle w:val="NormalWeb"/>
        <w:rPr>
          <w:color w:val="111111"/>
        </w:rPr>
      </w:pPr>
      <w:r w:rsidRPr="00657E6C">
        <w:rPr>
          <w:color w:val="111111"/>
        </w:rPr>
        <w:t>-Analyze the components and cycles of the solar system</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710"/>
        <w:gridCol w:w="8756"/>
      </w:tblGrid>
      <w:tr w:rsidR="00657E6C" w:rsidRPr="00657E6C" w:rsidTr="00657E6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Definition </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revolution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a complete circle made around something, e.g. the orbit made by a planet or satellite around another body</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rotation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a turning motion like that of a wheel around an axis or a fixed point, or the act or process of turning in such a way</w:t>
            </w:r>
          </w:p>
        </w:tc>
      </w:tr>
    </w:tbl>
    <w:p w:rsidR="00657E6C" w:rsidRPr="00657E6C" w:rsidRDefault="00657E6C" w:rsidP="00657E6C">
      <w:pPr>
        <w:pStyle w:val="NormalWeb"/>
        <w:rPr>
          <w:color w:val="111111"/>
        </w:rPr>
      </w:pPr>
      <w:r w:rsidRPr="00657E6C">
        <w:rPr>
          <w:color w:val="111111"/>
        </w:rPr>
        <w:t>Day 108 Remediation</w:t>
      </w:r>
    </w:p>
    <w:p w:rsidR="00657E6C" w:rsidRPr="00657E6C" w:rsidRDefault="00657E6C" w:rsidP="00657E6C">
      <w:pPr>
        <w:pStyle w:val="NormalWeb"/>
        <w:rPr>
          <w:color w:val="111111"/>
        </w:rPr>
      </w:pPr>
      <w:r w:rsidRPr="00657E6C">
        <w:rPr>
          <w:color w:val="111111"/>
        </w:rPr>
        <w:t>Days 109-113</w:t>
      </w:r>
    </w:p>
    <w:p w:rsidR="00657E6C" w:rsidRPr="00657E6C" w:rsidRDefault="00657E6C" w:rsidP="00657E6C">
      <w:pPr>
        <w:pStyle w:val="NormalWeb"/>
        <w:rPr>
          <w:color w:val="111111"/>
        </w:rPr>
      </w:pPr>
      <w:r w:rsidRPr="00657E6C">
        <w:rPr>
          <w:color w:val="111111"/>
        </w:rPr>
        <w:t>-Analyze the components and cycles of the solar system                                                                                -Relate the influence of the sun and the moon’s orbit to the gravitational effects produced on Earth.</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773"/>
        <w:gridCol w:w="8693"/>
      </w:tblGrid>
      <w:tr w:rsidR="00657E6C" w:rsidRPr="00657E6C" w:rsidTr="00657E6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Definition </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waning</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to show a decreasing illuminated surface between a full moon and new moon</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waxing</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to show a gradually increasing illuminated surface, as does the Moon between its new and full phases</w:t>
            </w:r>
          </w:p>
        </w:tc>
      </w:tr>
    </w:tbl>
    <w:p w:rsidR="00657E6C" w:rsidRPr="00657E6C" w:rsidRDefault="00657E6C" w:rsidP="00657E6C">
      <w:pPr>
        <w:pStyle w:val="NormalWeb"/>
        <w:rPr>
          <w:color w:val="111111"/>
        </w:rPr>
      </w:pPr>
      <w:r w:rsidRPr="00657E6C">
        <w:rPr>
          <w:color w:val="111111"/>
        </w:rPr>
        <w:t>Days 114-117</w:t>
      </w:r>
    </w:p>
    <w:p w:rsidR="00657E6C" w:rsidRPr="00657E6C" w:rsidRDefault="00657E6C" w:rsidP="00657E6C">
      <w:pPr>
        <w:pStyle w:val="NormalWeb"/>
        <w:rPr>
          <w:color w:val="111111"/>
        </w:rPr>
      </w:pPr>
      <w:r w:rsidRPr="00657E6C">
        <w:rPr>
          <w:color w:val="111111"/>
        </w:rPr>
        <w:t>- Analyze the components and cycles of the solar system (seasons)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739"/>
        <w:gridCol w:w="8727"/>
      </w:tblGrid>
      <w:tr w:rsidR="00657E6C" w:rsidRPr="00657E6C" w:rsidTr="00657E6C">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657E6C" w:rsidRPr="00657E6C" w:rsidRDefault="00657E6C" w:rsidP="00657E6C">
            <w:pPr>
              <w:jc w:val="center"/>
              <w:rPr>
                <w:rFonts w:eastAsia="Times New Roman"/>
                <w:b/>
                <w:bCs/>
                <w:color w:val="111111"/>
              </w:rPr>
            </w:pPr>
            <w:r w:rsidRPr="00657E6C">
              <w:rPr>
                <w:rFonts w:eastAsia="Times New Roman"/>
                <w:b/>
                <w:bCs/>
                <w:color w:val="111111"/>
              </w:rPr>
              <w:t xml:space="preserve">Definition </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hemisphere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one half of the Earth, especially a half north or south of the equator or west or east of the prime meridian</w:t>
            </w:r>
          </w:p>
        </w:tc>
      </w:tr>
      <w:tr w:rsidR="00657E6C" w:rsidRPr="00657E6C" w:rsidTr="00657E6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rPr>
                <w:rFonts w:eastAsia="Times New Roman"/>
                <w:color w:val="111111"/>
              </w:rPr>
            </w:pPr>
            <w:r w:rsidRPr="00657E6C">
              <w:rPr>
                <w:rFonts w:eastAsia="Times New Roman"/>
                <w:color w:val="111111"/>
              </w:rPr>
              <w:t>latitude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57E6C" w:rsidRPr="00657E6C" w:rsidRDefault="00657E6C" w:rsidP="00657E6C">
            <w:pPr>
              <w:spacing w:before="100" w:beforeAutospacing="1" w:after="100" w:afterAutospacing="1"/>
              <w:rPr>
                <w:rFonts w:eastAsia="Times New Roman"/>
                <w:color w:val="111111"/>
              </w:rPr>
            </w:pPr>
            <w:r w:rsidRPr="00657E6C">
              <w:rPr>
                <w:rFonts w:eastAsia="Times New Roman"/>
                <w:color w:val="111111"/>
              </w:rPr>
              <w:t>an imaginary line joining points on Earth's surface that are all of equal distance north or south of the equator</w:t>
            </w:r>
          </w:p>
        </w:tc>
      </w:tr>
    </w:tbl>
    <w:p w:rsidR="00657E6C" w:rsidRPr="00657E6C" w:rsidRDefault="00657E6C" w:rsidP="00657E6C">
      <w:pPr>
        <w:pStyle w:val="NormalWeb"/>
        <w:rPr>
          <w:color w:val="111111"/>
        </w:rPr>
      </w:pPr>
      <w:r w:rsidRPr="00657E6C">
        <w:rPr>
          <w:color w:val="111111"/>
        </w:rPr>
        <w:t>Days 118-120</w:t>
      </w:r>
    </w:p>
    <w:p w:rsidR="00657E6C" w:rsidRPr="00657E6C" w:rsidRDefault="00657E6C" w:rsidP="00657E6C">
      <w:pPr>
        <w:pStyle w:val="NormalWeb"/>
      </w:pPr>
      <w:r w:rsidRPr="00657E6C">
        <w:rPr>
          <w:color w:val="000000"/>
        </w:rPr>
        <w:t>-The students should be able to demonstrate mastery of the objectives</w:t>
      </w:r>
    </w:p>
    <w:sectPr w:rsidR="00657E6C" w:rsidRPr="00657E6C" w:rsidSect="00B7780C">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57E6C"/>
    <w:rsid w:val="000C0442"/>
    <w:rsid w:val="00173DE8"/>
    <w:rsid w:val="001A0BBC"/>
    <w:rsid w:val="00657E6C"/>
    <w:rsid w:val="00924822"/>
    <w:rsid w:val="00A57BC1"/>
    <w:rsid w:val="00A84650"/>
    <w:rsid w:val="00B759C0"/>
    <w:rsid w:val="00B7780C"/>
    <w:rsid w:val="00BD4465"/>
    <w:rsid w:val="00D312B9"/>
    <w:rsid w:val="00F1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E6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49848699">
      <w:bodyDiv w:val="1"/>
      <w:marLeft w:val="0"/>
      <w:marRight w:val="0"/>
      <w:marTop w:val="0"/>
      <w:marBottom w:val="0"/>
      <w:divBdr>
        <w:top w:val="none" w:sz="0" w:space="0" w:color="auto"/>
        <w:left w:val="none" w:sz="0" w:space="0" w:color="auto"/>
        <w:bottom w:val="none" w:sz="0" w:space="0" w:color="auto"/>
        <w:right w:val="none" w:sz="0" w:space="0" w:color="auto"/>
      </w:divBdr>
      <w:divsChild>
        <w:div w:id="1966082833">
          <w:marLeft w:val="0"/>
          <w:marRight w:val="0"/>
          <w:marTop w:val="600"/>
          <w:marBottom w:val="150"/>
          <w:divBdr>
            <w:top w:val="none" w:sz="0" w:space="0" w:color="auto"/>
            <w:left w:val="none" w:sz="0" w:space="0" w:color="auto"/>
            <w:bottom w:val="none" w:sz="0" w:space="0" w:color="auto"/>
            <w:right w:val="none" w:sz="0" w:space="0" w:color="auto"/>
          </w:divBdr>
          <w:divsChild>
            <w:div w:id="1233277133">
              <w:marLeft w:val="0"/>
              <w:marRight w:val="0"/>
              <w:marTop w:val="0"/>
              <w:marBottom w:val="0"/>
              <w:divBdr>
                <w:top w:val="none" w:sz="0" w:space="0" w:color="auto"/>
                <w:left w:val="none" w:sz="0" w:space="0" w:color="auto"/>
                <w:bottom w:val="none" w:sz="0" w:space="0" w:color="auto"/>
                <w:right w:val="none" w:sz="0" w:space="0" w:color="auto"/>
              </w:divBdr>
              <w:divsChild>
                <w:div w:id="1414275069">
                  <w:marLeft w:val="300"/>
                  <w:marRight w:val="225"/>
                  <w:marTop w:val="150"/>
                  <w:marBottom w:val="0"/>
                  <w:divBdr>
                    <w:top w:val="none" w:sz="0" w:space="0" w:color="auto"/>
                    <w:left w:val="none" w:sz="0" w:space="0" w:color="auto"/>
                    <w:bottom w:val="none" w:sz="0" w:space="0" w:color="auto"/>
                    <w:right w:val="none" w:sz="0" w:space="0" w:color="auto"/>
                  </w:divBdr>
                  <w:divsChild>
                    <w:div w:id="1981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30069007">
          <w:marLeft w:val="0"/>
          <w:marRight w:val="0"/>
          <w:marTop w:val="600"/>
          <w:marBottom w:val="150"/>
          <w:divBdr>
            <w:top w:val="none" w:sz="0" w:space="0" w:color="auto"/>
            <w:left w:val="none" w:sz="0" w:space="0" w:color="auto"/>
            <w:bottom w:val="none" w:sz="0" w:space="0" w:color="auto"/>
            <w:right w:val="none" w:sz="0" w:space="0" w:color="auto"/>
          </w:divBdr>
          <w:divsChild>
            <w:div w:id="1049256605">
              <w:marLeft w:val="0"/>
              <w:marRight w:val="0"/>
              <w:marTop w:val="0"/>
              <w:marBottom w:val="0"/>
              <w:divBdr>
                <w:top w:val="none" w:sz="0" w:space="0" w:color="auto"/>
                <w:left w:val="none" w:sz="0" w:space="0" w:color="auto"/>
                <w:bottom w:val="none" w:sz="0" w:space="0" w:color="auto"/>
                <w:right w:val="none" w:sz="0" w:space="0" w:color="auto"/>
              </w:divBdr>
              <w:divsChild>
                <w:div w:id="1619992646">
                  <w:marLeft w:val="300"/>
                  <w:marRight w:val="225"/>
                  <w:marTop w:val="15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203924">
      <w:bodyDiv w:val="1"/>
      <w:marLeft w:val="0"/>
      <w:marRight w:val="0"/>
      <w:marTop w:val="0"/>
      <w:marBottom w:val="0"/>
      <w:divBdr>
        <w:top w:val="none" w:sz="0" w:space="0" w:color="auto"/>
        <w:left w:val="none" w:sz="0" w:space="0" w:color="auto"/>
        <w:bottom w:val="none" w:sz="0" w:space="0" w:color="auto"/>
        <w:right w:val="none" w:sz="0" w:space="0" w:color="auto"/>
      </w:divBdr>
      <w:divsChild>
        <w:div w:id="2066247095">
          <w:marLeft w:val="0"/>
          <w:marRight w:val="0"/>
          <w:marTop w:val="600"/>
          <w:marBottom w:val="150"/>
          <w:divBdr>
            <w:top w:val="none" w:sz="0" w:space="0" w:color="auto"/>
            <w:left w:val="none" w:sz="0" w:space="0" w:color="auto"/>
            <w:bottom w:val="none" w:sz="0" w:space="0" w:color="auto"/>
            <w:right w:val="none" w:sz="0" w:space="0" w:color="auto"/>
          </w:divBdr>
          <w:divsChild>
            <w:div w:id="1782914480">
              <w:marLeft w:val="0"/>
              <w:marRight w:val="0"/>
              <w:marTop w:val="0"/>
              <w:marBottom w:val="0"/>
              <w:divBdr>
                <w:top w:val="none" w:sz="0" w:space="0" w:color="auto"/>
                <w:left w:val="none" w:sz="0" w:space="0" w:color="auto"/>
                <w:bottom w:val="none" w:sz="0" w:space="0" w:color="auto"/>
                <w:right w:val="none" w:sz="0" w:space="0" w:color="auto"/>
              </w:divBdr>
              <w:divsChild>
                <w:div w:id="631249754">
                  <w:marLeft w:val="300"/>
                  <w:marRight w:val="225"/>
                  <w:marTop w:val="150"/>
                  <w:marBottom w:val="0"/>
                  <w:divBdr>
                    <w:top w:val="none" w:sz="0" w:space="0" w:color="auto"/>
                    <w:left w:val="none" w:sz="0" w:space="0" w:color="auto"/>
                    <w:bottom w:val="none" w:sz="0" w:space="0" w:color="auto"/>
                    <w:right w:val="none" w:sz="0" w:space="0" w:color="auto"/>
                  </w:divBdr>
                  <w:divsChild>
                    <w:div w:id="11870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3369">
      <w:bodyDiv w:val="1"/>
      <w:marLeft w:val="0"/>
      <w:marRight w:val="0"/>
      <w:marTop w:val="0"/>
      <w:marBottom w:val="0"/>
      <w:divBdr>
        <w:top w:val="none" w:sz="0" w:space="0" w:color="auto"/>
        <w:left w:val="none" w:sz="0" w:space="0" w:color="auto"/>
        <w:bottom w:val="none" w:sz="0" w:space="0" w:color="auto"/>
        <w:right w:val="none" w:sz="0" w:space="0" w:color="auto"/>
      </w:divBdr>
      <w:divsChild>
        <w:div w:id="1922256699">
          <w:marLeft w:val="0"/>
          <w:marRight w:val="0"/>
          <w:marTop w:val="600"/>
          <w:marBottom w:val="150"/>
          <w:divBdr>
            <w:top w:val="none" w:sz="0" w:space="0" w:color="auto"/>
            <w:left w:val="none" w:sz="0" w:space="0" w:color="auto"/>
            <w:bottom w:val="none" w:sz="0" w:space="0" w:color="auto"/>
            <w:right w:val="none" w:sz="0" w:space="0" w:color="auto"/>
          </w:divBdr>
          <w:divsChild>
            <w:div w:id="1023701089">
              <w:marLeft w:val="0"/>
              <w:marRight w:val="0"/>
              <w:marTop w:val="0"/>
              <w:marBottom w:val="0"/>
              <w:divBdr>
                <w:top w:val="none" w:sz="0" w:space="0" w:color="auto"/>
                <w:left w:val="none" w:sz="0" w:space="0" w:color="auto"/>
                <w:bottom w:val="none" w:sz="0" w:space="0" w:color="auto"/>
                <w:right w:val="none" w:sz="0" w:space="0" w:color="auto"/>
              </w:divBdr>
              <w:divsChild>
                <w:div w:id="1684281180">
                  <w:marLeft w:val="300"/>
                  <w:marRight w:val="225"/>
                  <w:marTop w:val="150"/>
                  <w:marBottom w:val="0"/>
                  <w:divBdr>
                    <w:top w:val="none" w:sz="0" w:space="0" w:color="auto"/>
                    <w:left w:val="none" w:sz="0" w:space="0" w:color="auto"/>
                    <w:bottom w:val="none" w:sz="0" w:space="0" w:color="auto"/>
                    <w:right w:val="none" w:sz="0" w:space="0" w:color="auto"/>
                  </w:divBdr>
                  <w:divsChild>
                    <w:div w:id="953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0630">
      <w:bodyDiv w:val="1"/>
      <w:marLeft w:val="0"/>
      <w:marRight w:val="0"/>
      <w:marTop w:val="0"/>
      <w:marBottom w:val="0"/>
      <w:divBdr>
        <w:top w:val="none" w:sz="0" w:space="0" w:color="auto"/>
        <w:left w:val="none" w:sz="0" w:space="0" w:color="auto"/>
        <w:bottom w:val="none" w:sz="0" w:space="0" w:color="auto"/>
        <w:right w:val="none" w:sz="0" w:space="0" w:color="auto"/>
      </w:divBdr>
      <w:divsChild>
        <w:div w:id="2018338088">
          <w:marLeft w:val="0"/>
          <w:marRight w:val="0"/>
          <w:marTop w:val="600"/>
          <w:marBottom w:val="150"/>
          <w:divBdr>
            <w:top w:val="none" w:sz="0" w:space="0" w:color="auto"/>
            <w:left w:val="none" w:sz="0" w:space="0" w:color="auto"/>
            <w:bottom w:val="none" w:sz="0" w:space="0" w:color="auto"/>
            <w:right w:val="none" w:sz="0" w:space="0" w:color="auto"/>
          </w:divBdr>
          <w:divsChild>
            <w:div w:id="605698619">
              <w:marLeft w:val="0"/>
              <w:marRight w:val="0"/>
              <w:marTop w:val="0"/>
              <w:marBottom w:val="0"/>
              <w:divBdr>
                <w:top w:val="none" w:sz="0" w:space="0" w:color="auto"/>
                <w:left w:val="none" w:sz="0" w:space="0" w:color="auto"/>
                <w:bottom w:val="none" w:sz="0" w:space="0" w:color="auto"/>
                <w:right w:val="none" w:sz="0" w:space="0" w:color="auto"/>
              </w:divBdr>
              <w:divsChild>
                <w:div w:id="276062536">
                  <w:marLeft w:val="300"/>
                  <w:marRight w:val="225"/>
                  <w:marTop w:val="150"/>
                  <w:marBottom w:val="0"/>
                  <w:divBdr>
                    <w:top w:val="none" w:sz="0" w:space="0" w:color="auto"/>
                    <w:left w:val="none" w:sz="0" w:space="0" w:color="auto"/>
                    <w:bottom w:val="none" w:sz="0" w:space="0" w:color="auto"/>
                    <w:right w:val="none" w:sz="0" w:space="0" w:color="auto"/>
                  </w:divBdr>
                  <w:divsChild>
                    <w:div w:id="583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5661">
      <w:bodyDiv w:val="1"/>
      <w:marLeft w:val="0"/>
      <w:marRight w:val="0"/>
      <w:marTop w:val="0"/>
      <w:marBottom w:val="0"/>
      <w:divBdr>
        <w:top w:val="none" w:sz="0" w:space="0" w:color="auto"/>
        <w:left w:val="none" w:sz="0" w:space="0" w:color="auto"/>
        <w:bottom w:val="none" w:sz="0" w:space="0" w:color="auto"/>
        <w:right w:val="none" w:sz="0" w:space="0" w:color="auto"/>
      </w:divBdr>
      <w:divsChild>
        <w:div w:id="521362694">
          <w:marLeft w:val="0"/>
          <w:marRight w:val="0"/>
          <w:marTop w:val="600"/>
          <w:marBottom w:val="150"/>
          <w:divBdr>
            <w:top w:val="none" w:sz="0" w:space="0" w:color="auto"/>
            <w:left w:val="none" w:sz="0" w:space="0" w:color="auto"/>
            <w:bottom w:val="none" w:sz="0" w:space="0" w:color="auto"/>
            <w:right w:val="none" w:sz="0" w:space="0" w:color="auto"/>
          </w:divBdr>
          <w:divsChild>
            <w:div w:id="920913904">
              <w:marLeft w:val="0"/>
              <w:marRight w:val="0"/>
              <w:marTop w:val="0"/>
              <w:marBottom w:val="0"/>
              <w:divBdr>
                <w:top w:val="none" w:sz="0" w:space="0" w:color="auto"/>
                <w:left w:val="none" w:sz="0" w:space="0" w:color="auto"/>
                <w:bottom w:val="none" w:sz="0" w:space="0" w:color="auto"/>
                <w:right w:val="none" w:sz="0" w:space="0" w:color="auto"/>
              </w:divBdr>
              <w:divsChild>
                <w:div w:id="1867520814">
                  <w:marLeft w:val="300"/>
                  <w:marRight w:val="225"/>
                  <w:marTop w:val="150"/>
                  <w:marBottom w:val="0"/>
                  <w:divBdr>
                    <w:top w:val="none" w:sz="0" w:space="0" w:color="auto"/>
                    <w:left w:val="none" w:sz="0" w:space="0" w:color="auto"/>
                    <w:bottom w:val="none" w:sz="0" w:space="0" w:color="auto"/>
                    <w:right w:val="none" w:sz="0" w:space="0" w:color="auto"/>
                  </w:divBdr>
                  <w:divsChild>
                    <w:div w:id="16175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52226">
      <w:bodyDiv w:val="1"/>
      <w:marLeft w:val="0"/>
      <w:marRight w:val="0"/>
      <w:marTop w:val="0"/>
      <w:marBottom w:val="0"/>
      <w:divBdr>
        <w:top w:val="none" w:sz="0" w:space="0" w:color="auto"/>
        <w:left w:val="none" w:sz="0" w:space="0" w:color="auto"/>
        <w:bottom w:val="none" w:sz="0" w:space="0" w:color="auto"/>
        <w:right w:val="none" w:sz="0" w:space="0" w:color="auto"/>
      </w:divBdr>
      <w:divsChild>
        <w:div w:id="972519141">
          <w:marLeft w:val="0"/>
          <w:marRight w:val="0"/>
          <w:marTop w:val="600"/>
          <w:marBottom w:val="150"/>
          <w:divBdr>
            <w:top w:val="none" w:sz="0" w:space="0" w:color="auto"/>
            <w:left w:val="none" w:sz="0" w:space="0" w:color="auto"/>
            <w:bottom w:val="none" w:sz="0" w:space="0" w:color="auto"/>
            <w:right w:val="none" w:sz="0" w:space="0" w:color="auto"/>
          </w:divBdr>
          <w:divsChild>
            <w:div w:id="299656514">
              <w:marLeft w:val="0"/>
              <w:marRight w:val="0"/>
              <w:marTop w:val="0"/>
              <w:marBottom w:val="0"/>
              <w:divBdr>
                <w:top w:val="none" w:sz="0" w:space="0" w:color="auto"/>
                <w:left w:val="none" w:sz="0" w:space="0" w:color="auto"/>
                <w:bottom w:val="none" w:sz="0" w:space="0" w:color="auto"/>
                <w:right w:val="none" w:sz="0" w:space="0" w:color="auto"/>
              </w:divBdr>
              <w:divsChild>
                <w:div w:id="1708721253">
                  <w:marLeft w:val="300"/>
                  <w:marRight w:val="225"/>
                  <w:marTop w:val="150"/>
                  <w:marBottom w:val="0"/>
                  <w:divBdr>
                    <w:top w:val="none" w:sz="0" w:space="0" w:color="auto"/>
                    <w:left w:val="none" w:sz="0" w:space="0" w:color="auto"/>
                    <w:bottom w:val="none" w:sz="0" w:space="0" w:color="auto"/>
                    <w:right w:val="none" w:sz="0" w:space="0" w:color="auto"/>
                  </w:divBdr>
                  <w:divsChild>
                    <w:div w:id="18901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55">
      <w:bodyDiv w:val="1"/>
      <w:marLeft w:val="0"/>
      <w:marRight w:val="0"/>
      <w:marTop w:val="0"/>
      <w:marBottom w:val="0"/>
      <w:divBdr>
        <w:top w:val="none" w:sz="0" w:space="0" w:color="auto"/>
        <w:left w:val="none" w:sz="0" w:space="0" w:color="auto"/>
        <w:bottom w:val="none" w:sz="0" w:space="0" w:color="auto"/>
        <w:right w:val="none" w:sz="0" w:space="0" w:color="auto"/>
      </w:divBdr>
      <w:divsChild>
        <w:div w:id="212892447">
          <w:marLeft w:val="0"/>
          <w:marRight w:val="0"/>
          <w:marTop w:val="600"/>
          <w:marBottom w:val="150"/>
          <w:divBdr>
            <w:top w:val="none" w:sz="0" w:space="0" w:color="auto"/>
            <w:left w:val="none" w:sz="0" w:space="0" w:color="auto"/>
            <w:bottom w:val="none" w:sz="0" w:space="0" w:color="auto"/>
            <w:right w:val="none" w:sz="0" w:space="0" w:color="auto"/>
          </w:divBdr>
          <w:divsChild>
            <w:div w:id="205457699">
              <w:marLeft w:val="0"/>
              <w:marRight w:val="0"/>
              <w:marTop w:val="0"/>
              <w:marBottom w:val="0"/>
              <w:divBdr>
                <w:top w:val="none" w:sz="0" w:space="0" w:color="auto"/>
                <w:left w:val="none" w:sz="0" w:space="0" w:color="auto"/>
                <w:bottom w:val="none" w:sz="0" w:space="0" w:color="auto"/>
                <w:right w:val="none" w:sz="0" w:space="0" w:color="auto"/>
              </w:divBdr>
              <w:divsChild>
                <w:div w:id="884948816">
                  <w:marLeft w:val="300"/>
                  <w:marRight w:val="225"/>
                  <w:marTop w:val="150"/>
                  <w:marBottom w:val="0"/>
                  <w:divBdr>
                    <w:top w:val="none" w:sz="0" w:space="0" w:color="auto"/>
                    <w:left w:val="none" w:sz="0" w:space="0" w:color="auto"/>
                    <w:bottom w:val="none" w:sz="0" w:space="0" w:color="auto"/>
                    <w:right w:val="none" w:sz="0" w:space="0" w:color="auto"/>
                  </w:divBdr>
                  <w:divsChild>
                    <w:div w:id="17401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mmanholt</dc:creator>
  <cp:keywords/>
  <dc:description/>
  <cp:lastModifiedBy>mmanholt</cp:lastModifiedBy>
  <cp:revision>1</cp:revision>
  <dcterms:created xsi:type="dcterms:W3CDTF">2011-07-18T17:35:00Z</dcterms:created>
  <dcterms:modified xsi:type="dcterms:W3CDTF">2011-07-18T17:46:00Z</dcterms:modified>
</cp:coreProperties>
</file>